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1B54" w14:textId="4748DCD6" w:rsidR="006B4724" w:rsidRDefault="006B4724">
      <w:pPr>
        <w:pStyle w:val="Titel"/>
      </w:pPr>
      <w:r>
        <w:t>Formulierungsvorschl</w:t>
      </w:r>
      <w:r w:rsidR="002E2DA3">
        <w:t>a</w:t>
      </w:r>
      <w:r>
        <w:t xml:space="preserve">g Heft </w:t>
      </w:r>
      <w:r w:rsidR="002E2DA3">
        <w:t>5/</w:t>
      </w:r>
      <w:r>
        <w:t>20</w:t>
      </w:r>
      <w:r w:rsidR="002E2DA3">
        <w:t>26</w:t>
      </w:r>
    </w:p>
    <w:p w14:paraId="027845BA" w14:textId="77777777" w:rsidR="00181C19" w:rsidRDefault="00181C19">
      <w:pPr>
        <w:pStyle w:val="Titel"/>
      </w:pPr>
    </w:p>
    <w:p w14:paraId="5B17ACBD" w14:textId="3B797A23" w:rsidR="00F95EA9" w:rsidRDefault="002E2DA3">
      <w:pPr>
        <w:pStyle w:val="berschrift1"/>
      </w:pPr>
      <w:proofErr w:type="spellStart"/>
      <w:r>
        <w:t>praxisforum</w:t>
      </w:r>
      <w:proofErr w:type="spellEnd"/>
      <w:r w:rsidR="006A2885">
        <w:t xml:space="preserve">, </w:t>
      </w:r>
      <w:r>
        <w:t>Die Einziehung des GmbH-Geschäftsanteils bei Tod eines Gesellschafters: Fristen und weitere Fallstricke</w:t>
      </w:r>
      <w:r w:rsidR="006A2885">
        <w:t xml:space="preserve">, </w:t>
      </w:r>
      <w:r>
        <w:t>Dr. Oliver Vossius</w:t>
      </w:r>
    </w:p>
    <w:p w14:paraId="364AA308" w14:textId="77777777" w:rsidR="00D45EBA" w:rsidRDefault="00D45EBA" w:rsidP="00D45EBA"/>
    <w:p w14:paraId="685D489D" w14:textId="648E5DC7" w:rsidR="009D3189" w:rsidRDefault="009D3189" w:rsidP="009D3189">
      <w:pPr>
        <w:autoSpaceDE w:val="0"/>
        <w:autoSpaceDN w:val="0"/>
        <w:adjustRightInd w:val="0"/>
        <w:rPr>
          <w:rFonts w:cs="AdvPS_SSSB"/>
          <w:b/>
          <w:szCs w:val="22"/>
        </w:rPr>
      </w:pPr>
      <w:r>
        <w:rPr>
          <w:rFonts w:cs="AdvPS_SSSB"/>
          <w:b/>
          <w:szCs w:val="22"/>
        </w:rPr>
        <w:t xml:space="preserve">S. </w:t>
      </w:r>
      <w:r w:rsidR="002E2DA3">
        <w:rPr>
          <w:rFonts w:cs="AdvPS_SSSB"/>
          <w:b/>
          <w:szCs w:val="22"/>
        </w:rPr>
        <w:t>173</w:t>
      </w:r>
    </w:p>
    <w:p w14:paraId="5DB79FA7" w14:textId="63482DCA" w:rsidR="009D3189" w:rsidRDefault="002E2DA3" w:rsidP="009D3189">
      <w:pPr>
        <w:autoSpaceDE w:val="0"/>
        <w:autoSpaceDN w:val="0"/>
        <w:adjustRightInd w:val="0"/>
        <w:rPr>
          <w:rFonts w:cs="AdvPS_SSSB"/>
          <w:b/>
          <w:szCs w:val="22"/>
        </w:rPr>
      </w:pPr>
      <w:r w:rsidRPr="002E2DA3">
        <w:rPr>
          <w:rFonts w:cs="AdvPS_SSSB"/>
          <w:b/>
          <w:szCs w:val="22"/>
        </w:rPr>
        <w:t>Einziehung im Todesfall</w:t>
      </w:r>
      <w:r w:rsidR="009D3189">
        <w:rPr>
          <w:rFonts w:cs="AdvPS_SSSB"/>
          <w:b/>
          <w:szCs w:val="22"/>
        </w:rPr>
        <w:t>:</w:t>
      </w:r>
    </w:p>
    <w:p w14:paraId="59A1EE0A" w14:textId="77777777" w:rsidR="002E2DA3" w:rsidRDefault="002E2DA3" w:rsidP="002E2DA3">
      <w:pPr>
        <w:autoSpaceDE w:val="0"/>
        <w:autoSpaceDN w:val="0"/>
        <w:adjustRightInd w:val="0"/>
        <w:jc w:val="both"/>
        <w:rPr>
          <w:rFonts w:cs="AdvPS_SSSB"/>
          <w:szCs w:val="22"/>
        </w:rPr>
      </w:pPr>
      <w:r w:rsidRPr="002E2DA3">
        <w:rPr>
          <w:rFonts w:cs="AdvPS_SSSB"/>
          <w:szCs w:val="22"/>
        </w:rPr>
        <w:t>„§ …</w:t>
      </w:r>
    </w:p>
    <w:p w14:paraId="01A49ED8" w14:textId="77777777" w:rsidR="002E2DA3" w:rsidRPr="002E2DA3" w:rsidRDefault="002E2DA3" w:rsidP="002E2DA3">
      <w:pPr>
        <w:autoSpaceDE w:val="0"/>
        <w:autoSpaceDN w:val="0"/>
        <w:adjustRightInd w:val="0"/>
        <w:jc w:val="both"/>
        <w:rPr>
          <w:rFonts w:cs="AdvPS_SSSB"/>
          <w:szCs w:val="22"/>
        </w:rPr>
      </w:pPr>
    </w:p>
    <w:p w14:paraId="3435CB50" w14:textId="77777777" w:rsidR="002E2DA3" w:rsidRDefault="002E2DA3" w:rsidP="002E2DA3">
      <w:pPr>
        <w:autoSpaceDE w:val="0"/>
        <w:autoSpaceDN w:val="0"/>
        <w:adjustRightInd w:val="0"/>
        <w:jc w:val="both"/>
        <w:rPr>
          <w:rFonts w:cs="AdvPS_SSSB"/>
          <w:szCs w:val="22"/>
        </w:rPr>
      </w:pPr>
      <w:r w:rsidRPr="002E2DA3">
        <w:rPr>
          <w:rFonts w:cs="AdvPS_SSSB"/>
          <w:szCs w:val="22"/>
        </w:rPr>
        <w:t>Tod eines Gesellschafters</w:t>
      </w:r>
    </w:p>
    <w:p w14:paraId="60556C94" w14:textId="77777777" w:rsidR="002E2DA3" w:rsidRPr="002E2DA3" w:rsidRDefault="002E2DA3" w:rsidP="002E2DA3">
      <w:pPr>
        <w:autoSpaceDE w:val="0"/>
        <w:autoSpaceDN w:val="0"/>
        <w:adjustRightInd w:val="0"/>
        <w:jc w:val="both"/>
        <w:rPr>
          <w:rFonts w:cs="AdvPS_SSSB"/>
          <w:szCs w:val="22"/>
        </w:rPr>
      </w:pPr>
    </w:p>
    <w:p w14:paraId="4E426303" w14:textId="0AF3C0A7" w:rsidR="002E2DA3" w:rsidRPr="002E2DA3" w:rsidRDefault="002E2DA3" w:rsidP="002E2DA3">
      <w:pPr>
        <w:autoSpaceDE w:val="0"/>
        <w:autoSpaceDN w:val="0"/>
        <w:adjustRightInd w:val="0"/>
        <w:jc w:val="both"/>
        <w:rPr>
          <w:rFonts w:cs="AdvPS_SSSB"/>
          <w:szCs w:val="22"/>
        </w:rPr>
      </w:pPr>
      <w:r w:rsidRPr="002E2DA3">
        <w:rPr>
          <w:rFonts w:cs="AdvPS_SSSB"/>
          <w:szCs w:val="22"/>
        </w:rPr>
        <w:t>(1</w:t>
      </w:r>
      <w:r>
        <w:rPr>
          <w:rFonts w:cs="AdvPS_SSSB"/>
          <w:szCs w:val="22"/>
        </w:rPr>
        <w:t xml:space="preserve">) </w:t>
      </w:r>
      <w:r w:rsidRPr="002E2DA3">
        <w:rPr>
          <w:rFonts w:cs="AdvPS_SSSB"/>
          <w:szCs w:val="22"/>
        </w:rPr>
        <w:t>Durch den Tod eines Gesellschafters wird die Gesellschaft</w:t>
      </w:r>
      <w:r w:rsidRPr="002E2DA3">
        <w:rPr>
          <w:rFonts w:cs="AdvPS_SSSB"/>
          <w:szCs w:val="22"/>
        </w:rPr>
        <w:t xml:space="preserve"> </w:t>
      </w:r>
      <w:r w:rsidRPr="002E2DA3">
        <w:rPr>
          <w:rFonts w:cs="AdvPS_SSSB"/>
          <w:szCs w:val="22"/>
        </w:rPr>
        <w:t>nicht aufgelöst. Die Geschäftsanteile sind vererblich.</w:t>
      </w:r>
    </w:p>
    <w:p w14:paraId="0AB3B467" w14:textId="77777777" w:rsidR="002E2DA3" w:rsidRPr="002E2DA3" w:rsidRDefault="002E2DA3" w:rsidP="002E2DA3"/>
    <w:p w14:paraId="5DBA2382" w14:textId="7C6661EB" w:rsidR="009D3189" w:rsidRDefault="002E2DA3" w:rsidP="002E2DA3">
      <w:pPr>
        <w:autoSpaceDE w:val="0"/>
        <w:autoSpaceDN w:val="0"/>
        <w:adjustRightInd w:val="0"/>
        <w:jc w:val="both"/>
        <w:rPr>
          <w:rFonts w:cs="AdvPS_SSSB"/>
          <w:szCs w:val="22"/>
        </w:rPr>
      </w:pPr>
      <w:r w:rsidRPr="002E2DA3">
        <w:rPr>
          <w:rFonts w:cs="AdvPS_SSSB"/>
          <w:szCs w:val="22"/>
        </w:rPr>
        <w:t>(2) Mehrere Erben oder Vermächtnisnehmer eines Geschäftsanteils</w:t>
      </w:r>
      <w:r>
        <w:rPr>
          <w:rFonts w:cs="AdvPS_SSSB"/>
          <w:szCs w:val="22"/>
        </w:rPr>
        <w:t xml:space="preserve"> </w:t>
      </w:r>
      <w:r w:rsidRPr="002E2DA3">
        <w:rPr>
          <w:rFonts w:cs="AdvPS_SSSB"/>
          <w:szCs w:val="22"/>
        </w:rPr>
        <w:t>haben unverzüglich einen gemeinsamen Bevollmächtigten</w:t>
      </w:r>
      <w:r>
        <w:rPr>
          <w:rFonts w:cs="AdvPS_SSSB"/>
          <w:szCs w:val="22"/>
        </w:rPr>
        <w:t xml:space="preserve"> </w:t>
      </w:r>
      <w:r w:rsidRPr="002E2DA3">
        <w:rPr>
          <w:rFonts w:cs="AdvPS_SSSB"/>
          <w:szCs w:val="22"/>
        </w:rPr>
        <w:t>zu benennen, der ihre Rechte wahrnimmt. Nur dieser ist befugt,</w:t>
      </w:r>
      <w:r>
        <w:rPr>
          <w:rFonts w:cs="AdvPS_SSSB"/>
          <w:szCs w:val="22"/>
        </w:rPr>
        <w:t xml:space="preserve"> </w:t>
      </w:r>
      <w:r w:rsidRPr="002E2DA3">
        <w:rPr>
          <w:rFonts w:cs="AdvPS_SSSB"/>
          <w:szCs w:val="22"/>
        </w:rPr>
        <w:t>an Gesellschafterversammlungen teilzunehmen und bei Gesellschafterbeschlüssen</w:t>
      </w:r>
      <w:r>
        <w:rPr>
          <w:rFonts w:cs="AdvPS_SSSB"/>
          <w:szCs w:val="22"/>
        </w:rPr>
        <w:t xml:space="preserve"> </w:t>
      </w:r>
      <w:r w:rsidRPr="002E2DA3">
        <w:rPr>
          <w:rFonts w:cs="AdvPS_SSSB"/>
          <w:szCs w:val="22"/>
        </w:rPr>
        <w:t>mitzuwirken. Bis zur Bevollmächtigung ruhen</w:t>
      </w:r>
      <w:r>
        <w:rPr>
          <w:rFonts w:cs="AdvPS_SSSB"/>
          <w:szCs w:val="22"/>
        </w:rPr>
        <w:t xml:space="preserve"> </w:t>
      </w:r>
      <w:r w:rsidRPr="002E2DA3">
        <w:rPr>
          <w:rFonts w:cs="AdvPS_SSSB"/>
          <w:szCs w:val="22"/>
        </w:rPr>
        <w:t>alle Rechte der Erben oder Vermächtnisnehmer, ausgenommen</w:t>
      </w:r>
      <w:r>
        <w:rPr>
          <w:rFonts w:cs="AdvPS_SSSB"/>
          <w:szCs w:val="22"/>
        </w:rPr>
        <w:t xml:space="preserve"> </w:t>
      </w:r>
      <w:r w:rsidRPr="002E2DA3">
        <w:rPr>
          <w:rFonts w:cs="AdvPS_SSSB"/>
          <w:szCs w:val="22"/>
        </w:rPr>
        <w:t>das Recht auf den Gewinnanteil.</w:t>
      </w:r>
    </w:p>
    <w:p w14:paraId="441AE539" w14:textId="77777777" w:rsidR="002E2DA3" w:rsidRDefault="002E2DA3" w:rsidP="002E2DA3">
      <w:pPr>
        <w:autoSpaceDE w:val="0"/>
        <w:autoSpaceDN w:val="0"/>
        <w:adjustRightInd w:val="0"/>
        <w:jc w:val="both"/>
        <w:rPr>
          <w:rFonts w:cs="AdvPS_SSSB"/>
          <w:szCs w:val="22"/>
        </w:rPr>
      </w:pPr>
    </w:p>
    <w:p w14:paraId="0425E80A" w14:textId="7150CF4A" w:rsidR="002E2DA3" w:rsidRPr="002E2DA3" w:rsidRDefault="002E2DA3" w:rsidP="002E2DA3">
      <w:pPr>
        <w:autoSpaceDE w:val="0"/>
        <w:autoSpaceDN w:val="0"/>
        <w:adjustRightInd w:val="0"/>
        <w:jc w:val="both"/>
        <w:rPr>
          <w:rFonts w:cs="AdvPS_SSSB"/>
          <w:szCs w:val="22"/>
        </w:rPr>
      </w:pPr>
      <w:r w:rsidRPr="002E2DA3">
        <w:rPr>
          <w:rFonts w:cs="AdvPS_SSSB"/>
          <w:szCs w:val="22"/>
        </w:rPr>
        <w:t>(3) Innerhalb von drei Monaten, nach dem die Erbfolge durch</w:t>
      </w:r>
      <w:r>
        <w:rPr>
          <w:rFonts w:cs="AdvPS_SSSB"/>
          <w:szCs w:val="22"/>
        </w:rPr>
        <w:t xml:space="preserve"> </w:t>
      </w:r>
      <w:r w:rsidRPr="002E2DA3">
        <w:rPr>
          <w:rFonts w:cs="AdvPS_SSSB"/>
          <w:szCs w:val="22"/>
        </w:rPr>
        <w:t>Erteilung eines Erbscheins, eines Europäischen Nachlasszeugnisses,</w:t>
      </w:r>
      <w:r>
        <w:rPr>
          <w:rFonts w:cs="AdvPS_SSSB"/>
          <w:szCs w:val="22"/>
        </w:rPr>
        <w:t xml:space="preserve"> </w:t>
      </w:r>
      <w:r w:rsidRPr="002E2DA3">
        <w:rPr>
          <w:rFonts w:cs="AdvPS_SSSB"/>
          <w:szCs w:val="22"/>
        </w:rPr>
        <w:t>die Eröffnung eines öffentlichen Testaments oder Erbvertrags</w:t>
      </w:r>
      <w:r>
        <w:rPr>
          <w:rFonts w:cs="AdvPS_SSSB"/>
          <w:szCs w:val="22"/>
        </w:rPr>
        <w:t xml:space="preserve"> </w:t>
      </w:r>
      <w:r w:rsidRPr="002E2DA3">
        <w:rPr>
          <w:rFonts w:cs="AdvPS_SSSB"/>
          <w:szCs w:val="22"/>
        </w:rPr>
        <w:t>oder in vergleichbarer Weise nachgewiesen ist, können die Gesellschafter</w:t>
      </w:r>
    </w:p>
    <w:p w14:paraId="3A27AED0" w14:textId="0F596358" w:rsidR="002E2DA3" w:rsidRDefault="002E2DA3" w:rsidP="002E2DA3">
      <w:pPr>
        <w:autoSpaceDE w:val="0"/>
        <w:autoSpaceDN w:val="0"/>
        <w:adjustRightInd w:val="0"/>
        <w:jc w:val="both"/>
        <w:rPr>
          <w:rFonts w:cs="AdvPS_SSSB"/>
          <w:szCs w:val="22"/>
        </w:rPr>
      </w:pPr>
      <w:r w:rsidRPr="002E2DA3">
        <w:rPr>
          <w:rFonts w:cs="AdvPS_SSSB"/>
          <w:szCs w:val="22"/>
        </w:rPr>
        <w:t>beschließen, dass die Erben oder Vermächtnisnehmer die</w:t>
      </w:r>
      <w:r>
        <w:rPr>
          <w:rFonts w:cs="AdvPS_SSSB"/>
          <w:szCs w:val="22"/>
        </w:rPr>
        <w:t xml:space="preserve"> </w:t>
      </w:r>
      <w:r w:rsidRPr="002E2DA3">
        <w:rPr>
          <w:rFonts w:cs="AdvPS_SSSB"/>
          <w:szCs w:val="22"/>
        </w:rPr>
        <w:t>Anteile an einen oder mehrere von der Gesellschafterversammlung</w:t>
      </w:r>
      <w:r>
        <w:rPr>
          <w:rFonts w:cs="AdvPS_SSSB"/>
          <w:szCs w:val="22"/>
        </w:rPr>
        <w:t xml:space="preserve"> </w:t>
      </w:r>
      <w:r w:rsidRPr="002E2DA3">
        <w:rPr>
          <w:rFonts w:cs="AdvPS_SSSB"/>
          <w:szCs w:val="22"/>
        </w:rPr>
        <w:t>benannte Gesellschafter oder Dritte oder unter Berücksichtigung</w:t>
      </w:r>
      <w:r>
        <w:rPr>
          <w:rFonts w:cs="AdvPS_SSSB"/>
          <w:szCs w:val="22"/>
        </w:rPr>
        <w:t xml:space="preserve"> </w:t>
      </w:r>
      <w:r w:rsidRPr="002E2DA3">
        <w:rPr>
          <w:rFonts w:cs="AdvPS_SSSB"/>
          <w:szCs w:val="22"/>
        </w:rPr>
        <w:t>der Bestimmungen des § 33 GmbHG an die Gesellschaft</w:t>
      </w:r>
      <w:r>
        <w:rPr>
          <w:rFonts w:cs="AdvPS_SSSB"/>
          <w:szCs w:val="22"/>
        </w:rPr>
        <w:t xml:space="preserve"> </w:t>
      </w:r>
      <w:r w:rsidRPr="002E2DA3">
        <w:rPr>
          <w:rFonts w:cs="AdvPS_SSSB"/>
          <w:szCs w:val="22"/>
        </w:rPr>
        <w:t>selbst abzutreten haben. Bei diesem Beschluss ruhen die Stimmrechte</w:t>
      </w:r>
      <w:r>
        <w:rPr>
          <w:rFonts w:cs="AdvPS_SSSB"/>
          <w:szCs w:val="22"/>
        </w:rPr>
        <w:t xml:space="preserve"> </w:t>
      </w:r>
      <w:r w:rsidRPr="002E2DA3">
        <w:rPr>
          <w:rFonts w:cs="AdvPS_SSSB"/>
          <w:szCs w:val="22"/>
        </w:rPr>
        <w:t>aus den Anteilen des verstorbenen Gesellschafters.</w:t>
      </w:r>
    </w:p>
    <w:p w14:paraId="33889892" w14:textId="77777777" w:rsidR="002E2DA3" w:rsidRPr="002E2DA3" w:rsidRDefault="002E2DA3" w:rsidP="002E2DA3">
      <w:pPr>
        <w:autoSpaceDE w:val="0"/>
        <w:autoSpaceDN w:val="0"/>
        <w:adjustRightInd w:val="0"/>
        <w:jc w:val="both"/>
        <w:rPr>
          <w:rFonts w:cs="AdvPS_SSSB"/>
          <w:szCs w:val="22"/>
        </w:rPr>
      </w:pPr>
    </w:p>
    <w:p w14:paraId="2CA60042" w14:textId="016F9A0D" w:rsidR="002E2DA3" w:rsidRDefault="002E2DA3" w:rsidP="002E2DA3">
      <w:pPr>
        <w:autoSpaceDE w:val="0"/>
        <w:autoSpaceDN w:val="0"/>
        <w:adjustRightInd w:val="0"/>
        <w:jc w:val="both"/>
        <w:rPr>
          <w:rFonts w:cs="AdvPS_SSSB"/>
          <w:szCs w:val="22"/>
        </w:rPr>
      </w:pPr>
      <w:r w:rsidRPr="002E2DA3">
        <w:rPr>
          <w:rFonts w:cs="AdvPS_SSSB"/>
          <w:szCs w:val="22"/>
        </w:rPr>
        <w:t>4) Verweigern Erben oder Vermächtnisnehmer des verstorbenen</w:t>
      </w:r>
      <w:r>
        <w:rPr>
          <w:rFonts w:cs="AdvPS_SSSB"/>
          <w:szCs w:val="22"/>
        </w:rPr>
        <w:t xml:space="preserve"> </w:t>
      </w:r>
      <w:r w:rsidRPr="002E2DA3">
        <w:rPr>
          <w:rFonts w:cs="AdvPS_SSSB"/>
          <w:szCs w:val="22"/>
        </w:rPr>
        <w:t>Gesellschafters die Abtretung der Geschäftsanteile an die von der</w:t>
      </w:r>
      <w:r>
        <w:rPr>
          <w:rFonts w:cs="AdvPS_SSSB"/>
          <w:szCs w:val="22"/>
        </w:rPr>
        <w:t xml:space="preserve"> </w:t>
      </w:r>
      <w:r w:rsidRPr="002E2DA3">
        <w:rPr>
          <w:rFonts w:cs="AdvPS_SSSB"/>
          <w:szCs w:val="22"/>
        </w:rPr>
        <w:t>Gesellschaft benannte Person oder an die Gesellschaft selbst,</w:t>
      </w:r>
      <w:r>
        <w:rPr>
          <w:rFonts w:cs="AdvPS_SSSB"/>
          <w:szCs w:val="22"/>
        </w:rPr>
        <w:t xml:space="preserve"> </w:t>
      </w:r>
      <w:r w:rsidRPr="002E2DA3">
        <w:rPr>
          <w:rFonts w:cs="AdvPS_SSSB"/>
          <w:szCs w:val="22"/>
        </w:rPr>
        <w:t>können die Geschäftsanteile des verstorbenen Gesellschafters</w:t>
      </w:r>
      <w:r>
        <w:rPr>
          <w:rFonts w:cs="AdvPS_SSSB"/>
          <w:szCs w:val="22"/>
        </w:rPr>
        <w:t xml:space="preserve"> </w:t>
      </w:r>
      <w:r w:rsidRPr="002E2DA3">
        <w:rPr>
          <w:rFonts w:cs="AdvPS_SSSB"/>
          <w:szCs w:val="22"/>
        </w:rPr>
        <w:t>ohne Zustimmung der Erben oder Vermächtnisnehmer eingezogen</w:t>
      </w:r>
      <w:r>
        <w:rPr>
          <w:rFonts w:cs="AdvPS_SSSB"/>
          <w:szCs w:val="22"/>
        </w:rPr>
        <w:t xml:space="preserve"> </w:t>
      </w:r>
      <w:r w:rsidRPr="002E2DA3">
        <w:rPr>
          <w:rFonts w:cs="AdvPS_SSSB"/>
          <w:szCs w:val="22"/>
        </w:rPr>
        <w:t>werden.</w:t>
      </w:r>
    </w:p>
    <w:p w14:paraId="07C4298C" w14:textId="77777777" w:rsidR="002E2DA3" w:rsidRPr="002E2DA3" w:rsidRDefault="002E2DA3" w:rsidP="002E2DA3">
      <w:pPr>
        <w:autoSpaceDE w:val="0"/>
        <w:autoSpaceDN w:val="0"/>
        <w:adjustRightInd w:val="0"/>
        <w:jc w:val="both"/>
        <w:rPr>
          <w:rFonts w:cs="AdvPS_SSSB"/>
          <w:szCs w:val="22"/>
        </w:rPr>
      </w:pPr>
    </w:p>
    <w:p w14:paraId="7764C00F" w14:textId="77777777" w:rsidR="002E2DA3" w:rsidRPr="002E2DA3" w:rsidRDefault="002E2DA3" w:rsidP="002E2DA3">
      <w:pPr>
        <w:autoSpaceDE w:val="0"/>
        <w:autoSpaceDN w:val="0"/>
        <w:adjustRightInd w:val="0"/>
        <w:jc w:val="both"/>
        <w:rPr>
          <w:rFonts w:cs="AdvPS_SSSB"/>
          <w:szCs w:val="22"/>
        </w:rPr>
      </w:pPr>
      <w:r w:rsidRPr="002E2DA3">
        <w:rPr>
          <w:rFonts w:cs="AdvPS_SSSB"/>
          <w:szCs w:val="22"/>
        </w:rPr>
        <w:t>(5) Die Höhe der Abfindung und die Zahlungsweise bestimmen</w:t>
      </w:r>
    </w:p>
    <w:p w14:paraId="2F2F8D3B" w14:textId="6F2908B7" w:rsidR="002E2DA3" w:rsidRDefault="002E2DA3" w:rsidP="002E2DA3">
      <w:pPr>
        <w:autoSpaceDE w:val="0"/>
        <w:autoSpaceDN w:val="0"/>
        <w:adjustRightInd w:val="0"/>
        <w:jc w:val="both"/>
        <w:rPr>
          <w:rFonts w:cs="AdvPS_SSSB"/>
          <w:szCs w:val="22"/>
        </w:rPr>
      </w:pPr>
      <w:r w:rsidRPr="002E2DA3">
        <w:rPr>
          <w:rFonts w:cs="AdvPS_SSSB"/>
          <w:szCs w:val="22"/>
        </w:rPr>
        <w:t>sich nach dieser Satzung.“</w:t>
      </w:r>
    </w:p>
    <w:p w14:paraId="03BEBBD7" w14:textId="77777777" w:rsidR="002E2DA3" w:rsidRDefault="002E2DA3" w:rsidP="002E2DA3">
      <w:pPr>
        <w:autoSpaceDE w:val="0"/>
        <w:autoSpaceDN w:val="0"/>
        <w:adjustRightInd w:val="0"/>
        <w:jc w:val="both"/>
        <w:rPr>
          <w:rFonts w:cs="AdvPS_SSSB"/>
          <w:szCs w:val="22"/>
        </w:rPr>
      </w:pPr>
    </w:p>
    <w:sectPr w:rsidR="002E2DA3"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DFD5" w14:textId="77777777" w:rsidR="00155666" w:rsidRDefault="00155666">
      <w:r>
        <w:separator/>
      </w:r>
    </w:p>
  </w:endnote>
  <w:endnote w:type="continuationSeparator" w:id="0">
    <w:p w14:paraId="577DD9D2" w14:textId="77777777" w:rsidR="00155666" w:rsidRDefault="0015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36DD" w14:textId="77777777" w:rsidR="00155666" w:rsidRDefault="00155666">
      <w:r>
        <w:separator/>
      </w:r>
    </w:p>
  </w:footnote>
  <w:footnote w:type="continuationSeparator" w:id="0">
    <w:p w14:paraId="739EF927" w14:textId="77777777" w:rsidR="00155666" w:rsidRDefault="00155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5B"/>
    <w:multiLevelType w:val="hybridMultilevel"/>
    <w:tmpl w:val="B0FEB748"/>
    <w:lvl w:ilvl="0" w:tplc="3DC6514E">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4"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09868180">
    <w:abstractNumId w:val="9"/>
  </w:num>
  <w:num w:numId="2" w16cid:durableId="591668532">
    <w:abstractNumId w:val="10"/>
  </w:num>
  <w:num w:numId="3" w16cid:durableId="1294285147">
    <w:abstractNumId w:val="13"/>
  </w:num>
  <w:num w:numId="4" w16cid:durableId="1185754317">
    <w:abstractNumId w:val="1"/>
  </w:num>
  <w:num w:numId="5" w16cid:durableId="349455033">
    <w:abstractNumId w:val="11"/>
  </w:num>
  <w:num w:numId="6" w16cid:durableId="78631097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7119634">
    <w:abstractNumId w:val="6"/>
  </w:num>
  <w:num w:numId="8" w16cid:durableId="1973751741">
    <w:abstractNumId w:val="12"/>
  </w:num>
  <w:num w:numId="9" w16cid:durableId="1519659656">
    <w:abstractNumId w:val="19"/>
  </w:num>
  <w:num w:numId="10" w16cid:durableId="914245213">
    <w:abstractNumId w:val="7"/>
  </w:num>
  <w:num w:numId="11" w16cid:durableId="1538084796">
    <w:abstractNumId w:val="8"/>
  </w:num>
  <w:num w:numId="12" w16cid:durableId="420492873">
    <w:abstractNumId w:val="25"/>
  </w:num>
  <w:num w:numId="13" w16cid:durableId="933981162">
    <w:abstractNumId w:val="5"/>
  </w:num>
  <w:num w:numId="14" w16cid:durableId="1238980793">
    <w:abstractNumId w:val="15"/>
  </w:num>
  <w:num w:numId="15" w16cid:durableId="947657342">
    <w:abstractNumId w:val="3"/>
  </w:num>
  <w:num w:numId="16" w16cid:durableId="737440159">
    <w:abstractNumId w:val="2"/>
  </w:num>
  <w:num w:numId="17" w16cid:durableId="348412243">
    <w:abstractNumId w:val="20"/>
  </w:num>
  <w:num w:numId="18" w16cid:durableId="1185290326">
    <w:abstractNumId w:val="26"/>
  </w:num>
  <w:num w:numId="19" w16cid:durableId="736705813">
    <w:abstractNumId w:val="24"/>
  </w:num>
  <w:num w:numId="20" w16cid:durableId="522062694">
    <w:abstractNumId w:val="14"/>
  </w:num>
  <w:num w:numId="21" w16cid:durableId="2126536690">
    <w:abstractNumId w:val="21"/>
  </w:num>
  <w:num w:numId="22" w16cid:durableId="1344935430">
    <w:abstractNumId w:val="18"/>
  </w:num>
  <w:num w:numId="23" w16cid:durableId="140983957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175163">
    <w:abstractNumId w:val="23"/>
  </w:num>
  <w:num w:numId="25" w16cid:durableId="490799991">
    <w:abstractNumId w:val="16"/>
  </w:num>
  <w:num w:numId="26" w16cid:durableId="628821423">
    <w:abstractNumId w:val="22"/>
  </w:num>
  <w:num w:numId="27" w16cid:durableId="519396710">
    <w:abstractNumId w:val="4"/>
  </w:num>
  <w:num w:numId="28" w16cid:durableId="1517117114">
    <w:abstractNumId w:val="17"/>
  </w:num>
  <w:num w:numId="29" w16cid:durableId="65583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t-Version" w:val="1.8"/>
  </w:docVars>
  <w:rsids>
    <w:rsidRoot w:val="006B4724"/>
    <w:rsid w:val="00002C68"/>
    <w:rsid w:val="00017587"/>
    <w:rsid w:val="00017A49"/>
    <w:rsid w:val="00020BA8"/>
    <w:rsid w:val="00034FA9"/>
    <w:rsid w:val="00034FB1"/>
    <w:rsid w:val="00043448"/>
    <w:rsid w:val="0004762B"/>
    <w:rsid w:val="00055AC3"/>
    <w:rsid w:val="000651D1"/>
    <w:rsid w:val="000727D4"/>
    <w:rsid w:val="000A4B47"/>
    <w:rsid w:val="000E5ACA"/>
    <w:rsid w:val="00126993"/>
    <w:rsid w:val="00126FD6"/>
    <w:rsid w:val="00147E74"/>
    <w:rsid w:val="0015068B"/>
    <w:rsid w:val="00155666"/>
    <w:rsid w:val="00163FE6"/>
    <w:rsid w:val="00181C19"/>
    <w:rsid w:val="001C0315"/>
    <w:rsid w:val="001C2752"/>
    <w:rsid w:val="001E7401"/>
    <w:rsid w:val="001F200D"/>
    <w:rsid w:val="001F3031"/>
    <w:rsid w:val="00225DCD"/>
    <w:rsid w:val="00235CE9"/>
    <w:rsid w:val="0026561B"/>
    <w:rsid w:val="00273161"/>
    <w:rsid w:val="002A121A"/>
    <w:rsid w:val="002D6D01"/>
    <w:rsid w:val="002E2DA3"/>
    <w:rsid w:val="002E2DAA"/>
    <w:rsid w:val="0032391E"/>
    <w:rsid w:val="00334674"/>
    <w:rsid w:val="0038506C"/>
    <w:rsid w:val="00391DFC"/>
    <w:rsid w:val="003F39B4"/>
    <w:rsid w:val="004008F1"/>
    <w:rsid w:val="00437433"/>
    <w:rsid w:val="0046275C"/>
    <w:rsid w:val="0047520F"/>
    <w:rsid w:val="00476086"/>
    <w:rsid w:val="00492155"/>
    <w:rsid w:val="00494E87"/>
    <w:rsid w:val="004E370E"/>
    <w:rsid w:val="004F167E"/>
    <w:rsid w:val="005140FA"/>
    <w:rsid w:val="005146FD"/>
    <w:rsid w:val="005300BF"/>
    <w:rsid w:val="00541ED4"/>
    <w:rsid w:val="0055272E"/>
    <w:rsid w:val="00584992"/>
    <w:rsid w:val="005A036E"/>
    <w:rsid w:val="005C150D"/>
    <w:rsid w:val="005C3571"/>
    <w:rsid w:val="005E7C9D"/>
    <w:rsid w:val="00600150"/>
    <w:rsid w:val="00651D24"/>
    <w:rsid w:val="006A2885"/>
    <w:rsid w:val="006B4724"/>
    <w:rsid w:val="006C704B"/>
    <w:rsid w:val="00713702"/>
    <w:rsid w:val="007429B0"/>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8DB"/>
    <w:rsid w:val="00993E22"/>
    <w:rsid w:val="009D3189"/>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26B5"/>
    <w:rsid w:val="00BB6FE1"/>
    <w:rsid w:val="00C556A3"/>
    <w:rsid w:val="00C84CCC"/>
    <w:rsid w:val="00CE05AA"/>
    <w:rsid w:val="00CF4FB5"/>
    <w:rsid w:val="00D35965"/>
    <w:rsid w:val="00D3744E"/>
    <w:rsid w:val="00D45EBA"/>
    <w:rsid w:val="00D51D44"/>
    <w:rsid w:val="00D54FD3"/>
    <w:rsid w:val="00D664ED"/>
    <w:rsid w:val="00D919CE"/>
    <w:rsid w:val="00DC3CF2"/>
    <w:rsid w:val="00DD65D8"/>
    <w:rsid w:val="00DF4E34"/>
    <w:rsid w:val="00E36B33"/>
    <w:rsid w:val="00E51375"/>
    <w:rsid w:val="00E703F9"/>
    <w:rsid w:val="00E943FC"/>
    <w:rsid w:val="00EA217E"/>
    <w:rsid w:val="00EA52D1"/>
    <w:rsid w:val="00EA5F27"/>
    <w:rsid w:val="00EB0280"/>
    <w:rsid w:val="00EB0917"/>
    <w:rsid w:val="00EF30A6"/>
    <w:rsid w:val="00F023EF"/>
    <w:rsid w:val="00F03C5F"/>
    <w:rsid w:val="00F17CDE"/>
    <w:rsid w:val="00F418A2"/>
    <w:rsid w:val="00F41C91"/>
    <w:rsid w:val="00F509E7"/>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BE707"/>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AC04-AAA4-49EE-BB1C-649AF0E5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A.Harsch | DNotV</cp:lastModifiedBy>
  <cp:revision>2</cp:revision>
  <cp:lastPrinted>2010-10-12T09:43:00Z</cp:lastPrinted>
  <dcterms:created xsi:type="dcterms:W3CDTF">2026-05-19T10:47:00Z</dcterms:created>
  <dcterms:modified xsi:type="dcterms:W3CDTF">2026-05-19T10:47:00Z</dcterms:modified>
</cp:coreProperties>
</file>