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Pr="0082090E" w:rsidRDefault="006B4724">
      <w:pPr>
        <w:pStyle w:val="Titel"/>
        <w:rPr>
          <w:rFonts w:ascii="Roboto" w:hAnsi="Roboto"/>
        </w:rPr>
      </w:pPr>
      <w:r w:rsidRPr="0082090E">
        <w:rPr>
          <w:rFonts w:ascii="Roboto" w:hAnsi="Roboto"/>
        </w:rPr>
        <w:t>Formulierungsvorschl</w:t>
      </w:r>
      <w:r w:rsidR="00273161" w:rsidRPr="0082090E">
        <w:rPr>
          <w:rFonts w:ascii="Roboto" w:hAnsi="Roboto"/>
        </w:rPr>
        <w:t>ä</w:t>
      </w:r>
      <w:r w:rsidRPr="0082090E">
        <w:rPr>
          <w:rFonts w:ascii="Roboto" w:hAnsi="Roboto"/>
        </w:rPr>
        <w:t>g</w:t>
      </w:r>
      <w:r w:rsidR="00273161" w:rsidRPr="0082090E">
        <w:rPr>
          <w:rFonts w:ascii="Roboto" w:hAnsi="Roboto"/>
        </w:rPr>
        <w:t>e</w:t>
      </w:r>
      <w:r w:rsidRPr="0082090E">
        <w:rPr>
          <w:rFonts w:ascii="Roboto" w:hAnsi="Roboto"/>
        </w:rPr>
        <w:t xml:space="preserve"> Heft </w:t>
      </w:r>
      <w:r w:rsidR="00437433" w:rsidRPr="0082090E">
        <w:rPr>
          <w:rFonts w:ascii="Roboto" w:hAnsi="Roboto"/>
        </w:rPr>
        <w:t>7-8</w:t>
      </w:r>
      <w:r w:rsidRPr="0082090E">
        <w:rPr>
          <w:rFonts w:ascii="Roboto" w:hAnsi="Roboto"/>
        </w:rPr>
        <w:t>/201</w:t>
      </w:r>
      <w:r w:rsidR="00842AB0" w:rsidRPr="0082090E">
        <w:rPr>
          <w:rFonts w:ascii="Roboto" w:hAnsi="Roboto"/>
        </w:rPr>
        <w:t>8</w:t>
      </w:r>
    </w:p>
    <w:p w:rsidR="00AE0808" w:rsidRPr="0082090E" w:rsidRDefault="00AE0808">
      <w:pPr>
        <w:pStyle w:val="berschrift1"/>
        <w:rPr>
          <w:rFonts w:ascii="Roboto" w:hAnsi="Roboto"/>
          <w:szCs w:val="22"/>
        </w:rPr>
      </w:pPr>
    </w:p>
    <w:p w:rsidR="00037244" w:rsidRPr="0082090E" w:rsidRDefault="00037244" w:rsidP="00037244">
      <w:pPr>
        <w:rPr>
          <w:rFonts w:ascii="Roboto" w:hAnsi="Roboto"/>
          <w:szCs w:val="22"/>
        </w:rPr>
      </w:pPr>
    </w:p>
    <w:p w:rsidR="00037244" w:rsidRPr="0082090E" w:rsidRDefault="00037244" w:rsidP="00037244">
      <w:pPr>
        <w:rPr>
          <w:rFonts w:ascii="Roboto" w:hAnsi="Roboto"/>
          <w:szCs w:val="22"/>
        </w:rPr>
      </w:pPr>
    </w:p>
    <w:p w:rsidR="0061033F" w:rsidRPr="0082090E" w:rsidRDefault="00842AB0" w:rsidP="00037244">
      <w:pPr>
        <w:rPr>
          <w:rFonts w:ascii="Roboto" w:hAnsi="Roboto"/>
          <w:b/>
          <w:szCs w:val="22"/>
        </w:rPr>
      </w:pPr>
      <w:proofErr w:type="spellStart"/>
      <w:r w:rsidRPr="0082090E">
        <w:rPr>
          <w:rFonts w:ascii="Roboto" w:hAnsi="Roboto"/>
          <w:b/>
          <w:szCs w:val="22"/>
        </w:rPr>
        <w:t>beitrag</w:t>
      </w:r>
      <w:proofErr w:type="spellEnd"/>
      <w:r w:rsidRPr="0082090E">
        <w:rPr>
          <w:rFonts w:ascii="Roboto" w:hAnsi="Roboto"/>
          <w:b/>
          <w:szCs w:val="22"/>
        </w:rPr>
        <w:t xml:space="preserve"> des </w:t>
      </w:r>
      <w:proofErr w:type="spellStart"/>
      <w:r w:rsidRPr="0082090E">
        <w:rPr>
          <w:rFonts w:ascii="Roboto" w:hAnsi="Roboto"/>
          <w:b/>
          <w:szCs w:val="22"/>
        </w:rPr>
        <w:t>monats</w:t>
      </w:r>
      <w:proofErr w:type="spellEnd"/>
      <w:r w:rsidR="00037244" w:rsidRPr="0082090E">
        <w:rPr>
          <w:rFonts w:ascii="Roboto" w:hAnsi="Roboto"/>
          <w:b/>
          <w:szCs w:val="22"/>
        </w:rPr>
        <w:t xml:space="preserve">: </w:t>
      </w:r>
      <w:r w:rsidRPr="0082090E">
        <w:rPr>
          <w:rFonts w:ascii="Roboto" w:hAnsi="Roboto"/>
          <w:b/>
          <w:szCs w:val="22"/>
        </w:rPr>
        <w:t>Die Europäischen Güterrechtsverordnungen</w:t>
      </w:r>
      <w:r w:rsidR="0061033F" w:rsidRPr="0082090E">
        <w:rPr>
          <w:rFonts w:ascii="Roboto" w:hAnsi="Roboto"/>
          <w:b/>
          <w:szCs w:val="22"/>
        </w:rPr>
        <w:t xml:space="preserve">, Dr. Christoph </w:t>
      </w:r>
      <w:r w:rsidRPr="0082090E">
        <w:rPr>
          <w:rFonts w:ascii="Roboto" w:hAnsi="Roboto"/>
          <w:b/>
          <w:szCs w:val="22"/>
        </w:rPr>
        <w:t>Döbereiner</w:t>
      </w:r>
    </w:p>
    <w:p w:rsidR="00842AB0" w:rsidRPr="0082090E" w:rsidRDefault="00842AB0" w:rsidP="00037244">
      <w:pPr>
        <w:rPr>
          <w:rFonts w:ascii="Roboto" w:hAnsi="Roboto"/>
          <w:b/>
          <w:szCs w:val="22"/>
        </w:rPr>
      </w:pPr>
    </w:p>
    <w:p w:rsidR="0061033F" w:rsidRPr="0082090E" w:rsidRDefault="0061033F" w:rsidP="00037244">
      <w:pPr>
        <w:rPr>
          <w:rFonts w:ascii="Roboto" w:hAnsi="Roboto"/>
          <w:b/>
          <w:szCs w:val="22"/>
        </w:rPr>
      </w:pPr>
      <w:r w:rsidRPr="0082090E">
        <w:rPr>
          <w:rFonts w:ascii="Roboto" w:hAnsi="Roboto"/>
          <w:b/>
          <w:szCs w:val="22"/>
        </w:rPr>
        <w:t>S. 25</w:t>
      </w:r>
      <w:r w:rsidR="00842AB0" w:rsidRPr="0082090E">
        <w:rPr>
          <w:rFonts w:ascii="Roboto" w:hAnsi="Roboto"/>
          <w:b/>
          <w:szCs w:val="22"/>
        </w:rPr>
        <w:t>5</w:t>
      </w:r>
    </w:p>
    <w:p w:rsidR="00842AB0" w:rsidRPr="0082090E" w:rsidRDefault="00842AB0" w:rsidP="00842AB0">
      <w:pPr>
        <w:rPr>
          <w:rFonts w:ascii="Roboto" w:hAnsi="Roboto"/>
          <w:b/>
          <w:szCs w:val="22"/>
        </w:rPr>
      </w:pPr>
      <w:r w:rsidRPr="0082090E">
        <w:rPr>
          <w:rFonts w:ascii="Roboto" w:hAnsi="Roboto"/>
          <w:b/>
          <w:szCs w:val="22"/>
        </w:rPr>
        <w:t>Rechtswahl vor Eheschließung</w:t>
      </w:r>
    </w:p>
    <w:p w:rsidR="00842AB0" w:rsidRPr="0082090E" w:rsidRDefault="00842AB0" w:rsidP="00842AB0">
      <w:pPr>
        <w:rPr>
          <w:rFonts w:ascii="Roboto" w:hAnsi="Roboto"/>
          <w:szCs w:val="22"/>
        </w:rPr>
      </w:pPr>
      <w:r w:rsidRPr="0082090E">
        <w:rPr>
          <w:rFonts w:ascii="Roboto" w:hAnsi="Roboto"/>
          <w:szCs w:val="22"/>
        </w:rPr>
        <w:t>§ 1 Vorbemerkung</w:t>
      </w:r>
    </w:p>
    <w:p w:rsidR="00842AB0" w:rsidRPr="0082090E" w:rsidRDefault="00842AB0" w:rsidP="00842AB0">
      <w:pPr>
        <w:rPr>
          <w:rFonts w:ascii="Roboto" w:hAnsi="Roboto"/>
          <w:szCs w:val="22"/>
        </w:rPr>
      </w:pPr>
      <w:r w:rsidRPr="0082090E">
        <w:rPr>
          <w:rFonts w:ascii="Roboto" w:hAnsi="Roboto"/>
          <w:szCs w:val="22"/>
        </w:rPr>
        <w:t>Die künftige Ehefrau ist deutsche Staatsangehörige, der künftige Ehemann französischer Staatsangehöriger. Die künftigen Eheleute haben derzeit beide ihren gewöhnlichen Aufenthalt in Belgien. Sie beabsichtigen, am … in … zu heiraten. Sie erklären:</w:t>
      </w:r>
    </w:p>
    <w:p w:rsidR="00842AB0" w:rsidRPr="0082090E" w:rsidRDefault="00842AB0" w:rsidP="00842AB0">
      <w:pPr>
        <w:rPr>
          <w:rFonts w:ascii="Roboto" w:hAnsi="Roboto"/>
          <w:szCs w:val="22"/>
        </w:rPr>
      </w:pPr>
    </w:p>
    <w:p w:rsidR="00842AB0" w:rsidRPr="0082090E" w:rsidRDefault="00842AB0" w:rsidP="00842AB0">
      <w:pPr>
        <w:rPr>
          <w:rFonts w:ascii="Roboto" w:hAnsi="Roboto"/>
          <w:szCs w:val="22"/>
        </w:rPr>
      </w:pPr>
      <w:r w:rsidRPr="0082090E">
        <w:rPr>
          <w:rFonts w:ascii="Roboto" w:hAnsi="Roboto"/>
          <w:szCs w:val="22"/>
        </w:rPr>
        <w:t>§ 2 Rechtswahl</w:t>
      </w:r>
    </w:p>
    <w:p w:rsidR="00842AB0" w:rsidRPr="0082090E" w:rsidRDefault="00842AB0" w:rsidP="00842AB0">
      <w:pPr>
        <w:rPr>
          <w:rFonts w:ascii="Roboto" w:hAnsi="Roboto"/>
          <w:szCs w:val="22"/>
        </w:rPr>
      </w:pPr>
      <w:r w:rsidRPr="0082090E">
        <w:rPr>
          <w:rFonts w:ascii="Roboto" w:hAnsi="Roboto"/>
          <w:szCs w:val="22"/>
        </w:rPr>
        <w:t>Für das auf unseren ehelichen Güterstand anwendbare Recht wählen wir hiermit das deutsche Recht als Recht der Staatsangehörigkeit der künftigen Ehefrau.</w:t>
      </w:r>
    </w:p>
    <w:p w:rsidR="00842AB0" w:rsidRPr="0082090E" w:rsidRDefault="00842AB0" w:rsidP="00842AB0">
      <w:pPr>
        <w:rPr>
          <w:rFonts w:ascii="Roboto" w:hAnsi="Roboto"/>
          <w:szCs w:val="22"/>
        </w:rPr>
      </w:pPr>
    </w:p>
    <w:p w:rsidR="00842AB0" w:rsidRPr="0082090E" w:rsidRDefault="00842AB0" w:rsidP="00842AB0">
      <w:pPr>
        <w:rPr>
          <w:rFonts w:ascii="Roboto" w:hAnsi="Roboto"/>
          <w:szCs w:val="22"/>
        </w:rPr>
      </w:pPr>
      <w:r w:rsidRPr="0082090E">
        <w:rPr>
          <w:rFonts w:ascii="Roboto" w:hAnsi="Roboto"/>
          <w:szCs w:val="22"/>
        </w:rPr>
        <w:t>§ 3 Gesetzlicher Güterstand</w:t>
      </w:r>
    </w:p>
    <w:p w:rsidR="00842AB0" w:rsidRPr="0082090E" w:rsidRDefault="00842AB0" w:rsidP="00842AB0">
      <w:pPr>
        <w:rPr>
          <w:rFonts w:ascii="Roboto" w:hAnsi="Roboto"/>
          <w:szCs w:val="22"/>
        </w:rPr>
      </w:pPr>
      <w:r w:rsidRPr="0082090E">
        <w:rPr>
          <w:rFonts w:ascii="Roboto" w:hAnsi="Roboto"/>
          <w:szCs w:val="22"/>
        </w:rPr>
        <w:t>Es soll beim gesetzlichen Güterstand der Zugewinngemeinschaft verbleiben, über dessen Inhalt der Notar belehrt hat.</w:t>
      </w:r>
    </w:p>
    <w:p w:rsidR="00842AB0" w:rsidRPr="0082090E" w:rsidRDefault="00842AB0" w:rsidP="00842AB0">
      <w:pPr>
        <w:rPr>
          <w:rFonts w:ascii="Roboto" w:hAnsi="Roboto"/>
          <w:szCs w:val="22"/>
        </w:rPr>
      </w:pPr>
    </w:p>
    <w:p w:rsidR="00842AB0" w:rsidRPr="0082090E" w:rsidRDefault="00842AB0" w:rsidP="00842AB0">
      <w:pPr>
        <w:rPr>
          <w:rFonts w:ascii="Roboto" w:hAnsi="Roboto"/>
          <w:szCs w:val="22"/>
        </w:rPr>
      </w:pPr>
      <w:r w:rsidRPr="0082090E">
        <w:rPr>
          <w:rFonts w:ascii="Roboto" w:hAnsi="Roboto"/>
          <w:szCs w:val="22"/>
        </w:rPr>
        <w:t>§ 4 Güterrechtsregister</w:t>
      </w:r>
    </w:p>
    <w:p w:rsidR="00842AB0" w:rsidRPr="0082090E" w:rsidRDefault="00842AB0" w:rsidP="00842AB0">
      <w:pPr>
        <w:rPr>
          <w:rFonts w:ascii="Roboto" w:hAnsi="Roboto"/>
          <w:szCs w:val="22"/>
        </w:rPr>
      </w:pPr>
      <w:r w:rsidRPr="0082090E">
        <w:rPr>
          <w:rFonts w:ascii="Roboto" w:hAnsi="Roboto"/>
          <w:szCs w:val="22"/>
        </w:rPr>
        <w:t>Eine Eintragung der Rechtswahl in das Güterrechtsregister ist derzeit nicht gewünscht. Die Beteiligten bevollmächtigen sich gegenseitig, die Eintragung jederzeit zu beantragen.</w:t>
      </w:r>
    </w:p>
    <w:p w:rsidR="00842AB0" w:rsidRPr="0082090E" w:rsidRDefault="00842AB0" w:rsidP="00842AB0">
      <w:pPr>
        <w:rPr>
          <w:rFonts w:ascii="Roboto" w:hAnsi="Roboto"/>
          <w:szCs w:val="22"/>
        </w:rPr>
      </w:pPr>
    </w:p>
    <w:p w:rsidR="00842AB0" w:rsidRPr="0082090E" w:rsidRDefault="00842AB0" w:rsidP="00842AB0">
      <w:pPr>
        <w:rPr>
          <w:rFonts w:ascii="Roboto" w:hAnsi="Roboto"/>
          <w:szCs w:val="22"/>
        </w:rPr>
      </w:pPr>
    </w:p>
    <w:p w:rsidR="00842AB0" w:rsidRPr="0082090E" w:rsidRDefault="00842AB0" w:rsidP="00842AB0">
      <w:pPr>
        <w:rPr>
          <w:rFonts w:ascii="Roboto" w:hAnsi="Roboto"/>
          <w:b/>
          <w:szCs w:val="22"/>
        </w:rPr>
      </w:pPr>
      <w:r w:rsidRPr="0082090E">
        <w:rPr>
          <w:rFonts w:ascii="Roboto" w:hAnsi="Roboto"/>
          <w:b/>
          <w:szCs w:val="22"/>
        </w:rPr>
        <w:t>S. 256</w:t>
      </w:r>
    </w:p>
    <w:p w:rsidR="00842AB0" w:rsidRPr="0082090E" w:rsidRDefault="00842AB0" w:rsidP="00842AB0">
      <w:pPr>
        <w:rPr>
          <w:rFonts w:ascii="Roboto" w:hAnsi="Roboto"/>
          <w:b/>
          <w:szCs w:val="22"/>
        </w:rPr>
      </w:pPr>
      <w:r w:rsidRPr="0082090E">
        <w:rPr>
          <w:rFonts w:ascii="Roboto" w:hAnsi="Roboto"/>
          <w:b/>
          <w:szCs w:val="22"/>
        </w:rPr>
        <w:t>Rechtswahl nach Eheschließung</w:t>
      </w:r>
    </w:p>
    <w:p w:rsidR="00842AB0" w:rsidRPr="0082090E" w:rsidRDefault="00842AB0" w:rsidP="00842AB0">
      <w:pPr>
        <w:rPr>
          <w:rFonts w:ascii="Roboto" w:hAnsi="Roboto"/>
          <w:szCs w:val="22"/>
        </w:rPr>
      </w:pPr>
      <w:r w:rsidRPr="0082090E">
        <w:rPr>
          <w:rFonts w:ascii="Roboto" w:hAnsi="Roboto"/>
          <w:szCs w:val="22"/>
        </w:rPr>
        <w:t>§ 1 Vorbemerkung</w:t>
      </w:r>
    </w:p>
    <w:p w:rsidR="00842AB0" w:rsidRPr="0082090E" w:rsidRDefault="00842AB0" w:rsidP="00842AB0">
      <w:pPr>
        <w:rPr>
          <w:rFonts w:ascii="Roboto" w:hAnsi="Roboto"/>
          <w:szCs w:val="22"/>
        </w:rPr>
      </w:pPr>
      <w:r w:rsidRPr="0082090E">
        <w:rPr>
          <w:rFonts w:ascii="Roboto" w:hAnsi="Roboto"/>
          <w:szCs w:val="22"/>
        </w:rPr>
        <w:t>Die Ehefrau ist deutsche Staatsangehörige, der Ehemann französischer Staatsangehöriger. Sie haben am … in … geheiratet. Die Eheleute hatten nach der Eheschließung bis heute ihren gemeinsamen gewöhnlichen Aufenthalt in Belgien, einen Ehevertrag haben sie bisher nicht errichtet, sie leben also im gesetzlichen belgischen Güterstand der Errungenschaftsgemeinschaft. Sie erklären:</w:t>
      </w:r>
    </w:p>
    <w:p w:rsidR="00842AB0" w:rsidRPr="0082090E" w:rsidRDefault="00842AB0" w:rsidP="00842AB0">
      <w:pPr>
        <w:rPr>
          <w:rFonts w:ascii="Roboto" w:hAnsi="Roboto"/>
          <w:szCs w:val="22"/>
        </w:rPr>
      </w:pPr>
    </w:p>
    <w:p w:rsidR="00842AB0" w:rsidRPr="0082090E" w:rsidRDefault="00842AB0" w:rsidP="00842AB0">
      <w:pPr>
        <w:rPr>
          <w:rFonts w:ascii="Roboto" w:hAnsi="Roboto"/>
          <w:szCs w:val="22"/>
        </w:rPr>
      </w:pPr>
      <w:r w:rsidRPr="0082090E">
        <w:rPr>
          <w:rFonts w:ascii="Roboto" w:hAnsi="Roboto"/>
          <w:szCs w:val="22"/>
        </w:rPr>
        <w:t>§ 1 Rechtswahl</w:t>
      </w:r>
    </w:p>
    <w:p w:rsidR="00842AB0" w:rsidRPr="0082090E" w:rsidRDefault="00842AB0" w:rsidP="00842AB0">
      <w:pPr>
        <w:rPr>
          <w:rFonts w:ascii="Roboto" w:hAnsi="Roboto"/>
          <w:szCs w:val="22"/>
        </w:rPr>
      </w:pPr>
      <w:r w:rsidRPr="0082090E">
        <w:rPr>
          <w:rFonts w:ascii="Roboto" w:hAnsi="Roboto"/>
          <w:szCs w:val="22"/>
        </w:rPr>
        <w:t>Für das auf unseren ehelichen Güterstand anwendbare Recht wählen wir hiermit mit sofortiger Wirkung (alternativ: mit Wirkung ab …, ggf. auch rückwirkend) das deutsche Recht.</w:t>
      </w:r>
    </w:p>
    <w:p w:rsidR="00842AB0" w:rsidRPr="0082090E" w:rsidRDefault="00842AB0" w:rsidP="00842AB0">
      <w:pPr>
        <w:rPr>
          <w:rFonts w:ascii="Roboto" w:hAnsi="Roboto"/>
          <w:szCs w:val="22"/>
        </w:rPr>
      </w:pPr>
    </w:p>
    <w:p w:rsidR="00842AB0" w:rsidRPr="0082090E" w:rsidRDefault="00842AB0" w:rsidP="00842AB0">
      <w:pPr>
        <w:rPr>
          <w:rFonts w:ascii="Roboto" w:hAnsi="Roboto"/>
          <w:szCs w:val="22"/>
        </w:rPr>
      </w:pPr>
      <w:r w:rsidRPr="0082090E">
        <w:rPr>
          <w:rFonts w:ascii="Roboto" w:hAnsi="Roboto"/>
          <w:szCs w:val="22"/>
        </w:rPr>
        <w:t>§ 2 Gesetzlicher Güterstand</w:t>
      </w:r>
    </w:p>
    <w:p w:rsidR="00842AB0" w:rsidRPr="0082090E" w:rsidRDefault="00842AB0" w:rsidP="00842AB0">
      <w:pPr>
        <w:rPr>
          <w:rFonts w:ascii="Roboto" w:hAnsi="Roboto"/>
          <w:szCs w:val="22"/>
        </w:rPr>
      </w:pPr>
      <w:r w:rsidRPr="0082090E">
        <w:rPr>
          <w:rFonts w:ascii="Roboto" w:hAnsi="Roboto"/>
          <w:szCs w:val="22"/>
        </w:rPr>
        <w:t>Es soll beim gesetzlichen Güterstand der Zugewinngemeinschaft verbleiben. Der Zugewinnausgleich soll ab heute (alternativ: ab dem …) berechnet werden. Das Anfangsvermögen setzen wir auf beiderseits Null an (alternativ: keine oder andere konkrete Festlegung des Anfangsvermögens).</w:t>
      </w:r>
    </w:p>
    <w:p w:rsidR="00842AB0" w:rsidRPr="0082090E" w:rsidRDefault="00842AB0" w:rsidP="00842AB0">
      <w:pPr>
        <w:rPr>
          <w:rFonts w:ascii="Roboto" w:hAnsi="Roboto"/>
          <w:szCs w:val="22"/>
        </w:rPr>
      </w:pPr>
    </w:p>
    <w:p w:rsidR="00842AB0" w:rsidRPr="0082090E" w:rsidRDefault="00842AB0" w:rsidP="00842AB0">
      <w:pPr>
        <w:rPr>
          <w:rFonts w:ascii="Roboto" w:hAnsi="Roboto"/>
          <w:szCs w:val="22"/>
        </w:rPr>
      </w:pPr>
      <w:r w:rsidRPr="0082090E">
        <w:rPr>
          <w:rFonts w:ascii="Roboto" w:hAnsi="Roboto"/>
          <w:szCs w:val="22"/>
        </w:rPr>
        <w:t>§ 3 Vermögensauseinandersetzung</w:t>
      </w:r>
    </w:p>
    <w:p w:rsidR="00842AB0" w:rsidRPr="0082090E" w:rsidRDefault="00842AB0" w:rsidP="00842AB0">
      <w:pPr>
        <w:rPr>
          <w:rFonts w:ascii="Roboto" w:hAnsi="Roboto"/>
          <w:szCs w:val="22"/>
        </w:rPr>
      </w:pPr>
      <w:r w:rsidRPr="0082090E">
        <w:rPr>
          <w:rFonts w:ascii="Roboto" w:hAnsi="Roboto"/>
          <w:szCs w:val="22"/>
        </w:rPr>
        <w:t>In Auseinandersetzung der bisherigen Errungenschaftsgemeinschaft des belgischen Rechts wird hiermit vereinbart:</w:t>
      </w:r>
    </w:p>
    <w:p w:rsidR="00842AB0" w:rsidRPr="0082090E" w:rsidRDefault="00842AB0" w:rsidP="00842AB0">
      <w:pPr>
        <w:rPr>
          <w:rFonts w:ascii="Roboto" w:hAnsi="Roboto"/>
          <w:szCs w:val="22"/>
        </w:rPr>
      </w:pPr>
      <w:r w:rsidRPr="0082090E">
        <w:rPr>
          <w:rFonts w:ascii="Roboto" w:hAnsi="Roboto"/>
          <w:szCs w:val="22"/>
        </w:rPr>
        <w:t>Der PKW ... steht im Alleineigentum des Ehemannes. Der Hausrat der Ehewohnung steht in unserem je hälftigen Miteigentum. Persönliche Gebrauchsgegenstände stehen im Alleineigentum des jeweiligen Ehegatten. Eine weitere Abwicklung des durch die heutige Rechtswahl beendeten belgischen Güterstandes ist nicht erforderlich, da die Beteiligten keinen Grundbesitz haben.</w:t>
      </w:r>
    </w:p>
    <w:p w:rsidR="00842AB0" w:rsidRPr="0082090E" w:rsidRDefault="00842AB0" w:rsidP="00842AB0">
      <w:pPr>
        <w:rPr>
          <w:rFonts w:ascii="Roboto" w:hAnsi="Roboto"/>
          <w:szCs w:val="22"/>
        </w:rPr>
      </w:pPr>
      <w:r w:rsidRPr="0082090E">
        <w:rPr>
          <w:rFonts w:ascii="Roboto" w:hAnsi="Roboto"/>
          <w:szCs w:val="22"/>
        </w:rPr>
        <w:t xml:space="preserve">(alternativ: Der Notar hat darauf hingewiesen, dass durch die in dieser Urkunde getroffene Rechtswahl der bisherige Güterstand der Errungenschaftsgemeinschaft des belgischen Rechts beendet ist. Die erforderliche Auseinandersetzung des im Ausland </w:t>
      </w:r>
      <w:proofErr w:type="spellStart"/>
      <w:r w:rsidRPr="0082090E">
        <w:rPr>
          <w:rFonts w:ascii="Roboto" w:hAnsi="Roboto"/>
          <w:szCs w:val="22"/>
        </w:rPr>
        <w:t>belegenen</w:t>
      </w:r>
      <w:proofErr w:type="spellEnd"/>
      <w:r w:rsidRPr="0082090E">
        <w:rPr>
          <w:rFonts w:ascii="Roboto" w:hAnsi="Roboto"/>
          <w:szCs w:val="22"/>
        </w:rPr>
        <w:t xml:space="preserve"> Vermögens werden die Beteiligten gesondert durchführen, sie verpflichten sich gegenseitig, sämtliche hierfür erforderlichen Rechtshandlungen vorzunehmen und Erklärungen abzugeben. Der Notar hat darauf hingewiesen, dass er ausländisches Recht nicht kennen muss, er hat hierzu auch keinen Beratungsauftrag übernommen).</w:t>
      </w:r>
    </w:p>
    <w:p w:rsidR="00842AB0" w:rsidRPr="0082090E" w:rsidRDefault="00842AB0" w:rsidP="00842AB0">
      <w:pPr>
        <w:rPr>
          <w:rFonts w:ascii="Roboto" w:hAnsi="Roboto"/>
          <w:szCs w:val="22"/>
        </w:rPr>
      </w:pPr>
    </w:p>
    <w:p w:rsidR="00842AB0" w:rsidRPr="0082090E" w:rsidRDefault="00842AB0" w:rsidP="00842AB0">
      <w:pPr>
        <w:rPr>
          <w:rFonts w:ascii="Roboto" w:hAnsi="Roboto"/>
          <w:szCs w:val="22"/>
          <w:lang w:eastAsia="en-US"/>
        </w:rPr>
      </w:pPr>
      <w:r w:rsidRPr="0082090E">
        <w:rPr>
          <w:rFonts w:ascii="Roboto" w:hAnsi="Roboto"/>
          <w:szCs w:val="22"/>
        </w:rPr>
        <w:t>§ 4 Güterrechtsregister</w:t>
      </w:r>
    </w:p>
    <w:p w:rsidR="00842AB0" w:rsidRPr="0082090E" w:rsidRDefault="00842AB0" w:rsidP="00842AB0">
      <w:pPr>
        <w:rPr>
          <w:rFonts w:ascii="Roboto" w:hAnsi="Roboto"/>
          <w:szCs w:val="22"/>
        </w:rPr>
      </w:pPr>
      <w:r w:rsidRPr="0082090E">
        <w:rPr>
          <w:rFonts w:ascii="Roboto" w:hAnsi="Roboto"/>
          <w:szCs w:val="22"/>
        </w:rPr>
        <w:lastRenderedPageBreak/>
        <w:t>Eine Eintragung der Rechtswahl in das Güterrechtsregister ist derzeit nicht gewünscht. Die Beteiligten bevollmächtigen sich gegenseitig, die Eintragung jederzeit zu beantragen.</w:t>
      </w:r>
    </w:p>
    <w:p w:rsidR="00842AB0" w:rsidRPr="0082090E" w:rsidRDefault="00842AB0" w:rsidP="00842AB0">
      <w:pPr>
        <w:rPr>
          <w:rFonts w:ascii="Roboto" w:hAnsi="Roboto"/>
          <w:szCs w:val="22"/>
        </w:rPr>
      </w:pPr>
    </w:p>
    <w:p w:rsidR="00842AB0" w:rsidRPr="0082090E" w:rsidRDefault="00842AB0" w:rsidP="00842AB0">
      <w:pPr>
        <w:rPr>
          <w:rFonts w:ascii="Roboto" w:hAnsi="Roboto"/>
          <w:szCs w:val="22"/>
        </w:rPr>
      </w:pPr>
    </w:p>
    <w:p w:rsidR="00842AB0" w:rsidRPr="0082090E" w:rsidRDefault="00842AB0" w:rsidP="00842AB0">
      <w:pPr>
        <w:rPr>
          <w:rFonts w:ascii="Roboto" w:hAnsi="Roboto"/>
          <w:szCs w:val="22"/>
        </w:rPr>
      </w:pPr>
    </w:p>
    <w:p w:rsidR="00842AB0" w:rsidRPr="0082090E" w:rsidRDefault="00842AB0" w:rsidP="00842AB0">
      <w:pPr>
        <w:rPr>
          <w:rFonts w:ascii="Roboto" w:hAnsi="Roboto"/>
          <w:b/>
          <w:szCs w:val="22"/>
        </w:rPr>
      </w:pPr>
      <w:r w:rsidRPr="0082090E">
        <w:rPr>
          <w:rFonts w:ascii="Roboto" w:hAnsi="Roboto"/>
          <w:b/>
          <w:szCs w:val="22"/>
        </w:rPr>
        <w:t>Jahresrückblick: Erbrecht – Aktuelle Entwicklungen, Dr. Christoph Röhl</w:t>
      </w:r>
    </w:p>
    <w:p w:rsidR="00842AB0" w:rsidRPr="0082090E" w:rsidRDefault="00842AB0" w:rsidP="00842AB0">
      <w:pPr>
        <w:rPr>
          <w:rFonts w:ascii="Roboto" w:hAnsi="Roboto"/>
          <w:szCs w:val="22"/>
        </w:rPr>
      </w:pPr>
    </w:p>
    <w:p w:rsidR="007C589E" w:rsidRDefault="007C589E" w:rsidP="00842AB0">
      <w:pPr>
        <w:rPr>
          <w:rFonts w:ascii="Roboto" w:hAnsi="Roboto"/>
          <w:b/>
          <w:szCs w:val="22"/>
        </w:rPr>
      </w:pPr>
      <w:r>
        <w:rPr>
          <w:rFonts w:ascii="Roboto" w:hAnsi="Roboto"/>
          <w:b/>
          <w:szCs w:val="22"/>
        </w:rPr>
        <w:t>S. 265</w:t>
      </w:r>
    </w:p>
    <w:p w:rsidR="007C589E" w:rsidRPr="007C589E" w:rsidRDefault="007C589E" w:rsidP="007C589E">
      <w:pPr>
        <w:rPr>
          <w:b/>
        </w:rPr>
      </w:pPr>
      <w:r w:rsidRPr="007C589E">
        <w:rPr>
          <w:b/>
        </w:rPr>
        <w:t>Klarstellender Hinweis:</w:t>
      </w:r>
    </w:p>
    <w:p w:rsidR="007C589E" w:rsidRPr="007C589E" w:rsidRDefault="007C589E" w:rsidP="007C589E">
      <w:r w:rsidRPr="007C589E">
        <w:t>Mir/Uns ist bekannt, dass die vorstehenden Verfügungen einen Erwerb aufgrund von Lebensversicherungen mit festgelegter Bezugsberechtigung oder sonstige Verträge zugunsten Dritter auf den Todesfall nicht erfassen.</w:t>
      </w:r>
    </w:p>
    <w:p w:rsidR="007C589E" w:rsidRDefault="007C589E" w:rsidP="00842AB0">
      <w:pPr>
        <w:rPr>
          <w:rFonts w:ascii="Roboto" w:hAnsi="Roboto"/>
          <w:b/>
          <w:szCs w:val="22"/>
        </w:rPr>
      </w:pPr>
    </w:p>
    <w:p w:rsidR="007C589E" w:rsidRDefault="007C589E" w:rsidP="00842AB0">
      <w:pPr>
        <w:rPr>
          <w:rFonts w:ascii="Roboto" w:hAnsi="Roboto"/>
          <w:b/>
          <w:szCs w:val="22"/>
        </w:rPr>
      </w:pPr>
    </w:p>
    <w:p w:rsidR="00842AB0" w:rsidRPr="0082090E" w:rsidRDefault="00842AB0" w:rsidP="00842AB0">
      <w:pPr>
        <w:rPr>
          <w:rFonts w:ascii="Roboto" w:hAnsi="Roboto"/>
          <w:b/>
          <w:szCs w:val="22"/>
        </w:rPr>
      </w:pPr>
      <w:r w:rsidRPr="0082090E">
        <w:rPr>
          <w:rFonts w:ascii="Roboto" w:hAnsi="Roboto"/>
          <w:b/>
          <w:szCs w:val="22"/>
        </w:rPr>
        <w:t>S. 2</w:t>
      </w:r>
      <w:r w:rsidR="00B76094">
        <w:rPr>
          <w:rFonts w:ascii="Roboto" w:hAnsi="Roboto"/>
          <w:b/>
          <w:szCs w:val="22"/>
        </w:rPr>
        <w:t>68</w:t>
      </w:r>
      <w:bookmarkStart w:id="0" w:name="_GoBack"/>
      <w:bookmarkEnd w:id="0"/>
    </w:p>
    <w:p w:rsidR="00842AB0" w:rsidRPr="0082090E" w:rsidRDefault="00842AB0" w:rsidP="00842AB0">
      <w:pPr>
        <w:rPr>
          <w:rFonts w:ascii="Roboto" w:hAnsi="Roboto"/>
          <w:b/>
          <w:szCs w:val="22"/>
        </w:rPr>
      </w:pPr>
      <w:r w:rsidRPr="0082090E">
        <w:rPr>
          <w:rFonts w:ascii="Roboto" w:hAnsi="Roboto"/>
          <w:b/>
          <w:szCs w:val="22"/>
        </w:rPr>
        <w:t>Gestaltungsvorschlag Erlöschen der Ersatzerbfolge:</w:t>
      </w:r>
    </w:p>
    <w:p w:rsidR="00842AB0" w:rsidRPr="0082090E" w:rsidRDefault="00842AB0" w:rsidP="00842AB0">
      <w:pPr>
        <w:rPr>
          <w:rFonts w:ascii="Roboto" w:hAnsi="Roboto"/>
          <w:szCs w:val="22"/>
        </w:rPr>
      </w:pPr>
      <w:r w:rsidRPr="0082090E">
        <w:rPr>
          <w:rFonts w:ascii="Roboto" w:hAnsi="Roboto"/>
          <w:szCs w:val="22"/>
        </w:rPr>
        <w:t>Es bietet sich folgende Formulierung an:</w:t>
      </w:r>
    </w:p>
    <w:p w:rsidR="00842AB0" w:rsidRPr="0082090E" w:rsidRDefault="00842AB0" w:rsidP="00842AB0">
      <w:pPr>
        <w:rPr>
          <w:rFonts w:ascii="Roboto" w:hAnsi="Roboto"/>
          <w:szCs w:val="22"/>
        </w:rPr>
      </w:pPr>
      <w:r w:rsidRPr="0082090E">
        <w:rPr>
          <w:rFonts w:ascii="Roboto" w:hAnsi="Roboto"/>
          <w:szCs w:val="22"/>
        </w:rPr>
        <w:t>Die Nacherbenanwartschaften sind nicht vererblich und nicht übertragbar, es sei denn, ein Nacherbe überträgt seine Nacherbenanwartschaft auf den Vorerben. In diesem Fall entfällt jede ausdrückliche oder stillschweigende Ersatznacherbeneinsetzung.</w:t>
      </w:r>
    </w:p>
    <w:p w:rsidR="00842AB0" w:rsidRPr="0082090E" w:rsidRDefault="00842AB0" w:rsidP="00842AB0">
      <w:pPr>
        <w:rPr>
          <w:rFonts w:ascii="Roboto" w:hAnsi="Roboto"/>
          <w:szCs w:val="22"/>
        </w:rPr>
      </w:pPr>
    </w:p>
    <w:p w:rsidR="00842AB0" w:rsidRPr="0082090E" w:rsidRDefault="00842AB0" w:rsidP="00842AB0">
      <w:pPr>
        <w:rPr>
          <w:rFonts w:ascii="Roboto" w:hAnsi="Roboto"/>
          <w:b/>
          <w:szCs w:val="22"/>
        </w:rPr>
      </w:pPr>
    </w:p>
    <w:p w:rsidR="00842AB0" w:rsidRPr="0082090E" w:rsidRDefault="00842AB0" w:rsidP="00842AB0">
      <w:pPr>
        <w:rPr>
          <w:rFonts w:ascii="Roboto" w:hAnsi="Roboto"/>
          <w:b/>
          <w:szCs w:val="22"/>
        </w:rPr>
      </w:pPr>
      <w:proofErr w:type="spellStart"/>
      <w:r w:rsidRPr="0082090E">
        <w:rPr>
          <w:rFonts w:ascii="Roboto" w:hAnsi="Roboto"/>
          <w:b/>
          <w:szCs w:val="22"/>
        </w:rPr>
        <w:t>rechtsprechung</w:t>
      </w:r>
      <w:proofErr w:type="spellEnd"/>
      <w:r w:rsidRPr="0082090E">
        <w:rPr>
          <w:rFonts w:ascii="Roboto" w:hAnsi="Roboto"/>
          <w:b/>
          <w:szCs w:val="22"/>
        </w:rPr>
        <w:t xml:space="preserve">: </w:t>
      </w:r>
    </w:p>
    <w:p w:rsidR="0082090E" w:rsidRPr="0082090E" w:rsidRDefault="0082090E" w:rsidP="00842AB0">
      <w:pPr>
        <w:rPr>
          <w:rFonts w:ascii="Roboto" w:hAnsi="Roboto"/>
          <w:b/>
          <w:szCs w:val="22"/>
        </w:rPr>
      </w:pPr>
    </w:p>
    <w:p w:rsidR="0082090E" w:rsidRPr="0082090E" w:rsidRDefault="0082090E" w:rsidP="00842AB0">
      <w:pPr>
        <w:rPr>
          <w:rFonts w:ascii="Roboto" w:hAnsi="Roboto"/>
          <w:b/>
          <w:szCs w:val="22"/>
        </w:rPr>
      </w:pPr>
      <w:r w:rsidRPr="0082090E">
        <w:rPr>
          <w:rFonts w:ascii="Roboto" w:hAnsi="Roboto"/>
          <w:b/>
          <w:szCs w:val="22"/>
        </w:rPr>
        <w:t>Erwerb eines Grundstücks durch eine Erbengemeinschaft, BGH v. 30.6.2017 – V ZR 232/16, Dr. Steffen Ott, MBLT</w:t>
      </w:r>
    </w:p>
    <w:p w:rsidR="0082090E" w:rsidRDefault="0082090E" w:rsidP="00842AB0">
      <w:pPr>
        <w:rPr>
          <w:rFonts w:ascii="Roboto" w:hAnsi="Roboto"/>
          <w:b/>
          <w:szCs w:val="22"/>
        </w:rPr>
      </w:pPr>
    </w:p>
    <w:p w:rsidR="0082090E" w:rsidRPr="0082090E" w:rsidRDefault="0082090E" w:rsidP="00842AB0">
      <w:pPr>
        <w:rPr>
          <w:rFonts w:ascii="Roboto" w:hAnsi="Roboto"/>
          <w:b/>
          <w:szCs w:val="22"/>
        </w:rPr>
      </w:pPr>
      <w:r>
        <w:rPr>
          <w:rFonts w:ascii="Roboto" w:hAnsi="Roboto"/>
          <w:b/>
          <w:szCs w:val="22"/>
        </w:rPr>
        <w:t>S. 290</w:t>
      </w:r>
    </w:p>
    <w:p w:rsidR="0082090E" w:rsidRPr="0082090E" w:rsidRDefault="0082090E" w:rsidP="0082090E">
      <w:pPr>
        <w:rPr>
          <w:rFonts w:ascii="Roboto" w:hAnsi="Roboto"/>
          <w:szCs w:val="22"/>
        </w:rPr>
      </w:pPr>
      <w:r w:rsidRPr="0082090E">
        <w:rPr>
          <w:rFonts w:ascii="Roboto" w:hAnsi="Roboto"/>
          <w:szCs w:val="22"/>
        </w:rPr>
        <w:t>A</w:t>
      </w:r>
      <w:r w:rsidRPr="0082090E">
        <w:rPr>
          <w:rFonts w:ascii="Roboto" w:hAnsi="Roboto"/>
          <w:b/>
          <w:szCs w:val="22"/>
        </w:rPr>
        <w:t>uflassung und Grundbucherklärungen bei Erwerb von Miterben für den Nachlass:</w:t>
      </w:r>
    </w:p>
    <w:p w:rsidR="0082090E" w:rsidRPr="0082090E" w:rsidRDefault="0082090E" w:rsidP="0082090E">
      <w:pPr>
        <w:rPr>
          <w:rFonts w:ascii="Roboto" w:hAnsi="Roboto"/>
          <w:szCs w:val="22"/>
        </w:rPr>
      </w:pPr>
      <w:r>
        <w:rPr>
          <w:rFonts w:ascii="Roboto" w:hAnsi="Roboto"/>
          <w:szCs w:val="22"/>
        </w:rPr>
        <w:t>Die Beteiligten sind sich darü</w:t>
      </w:r>
      <w:r w:rsidRPr="0082090E">
        <w:rPr>
          <w:rFonts w:ascii="Roboto" w:hAnsi="Roboto"/>
          <w:szCs w:val="22"/>
        </w:rPr>
        <w:t>ber einig, dass das Eigentum an dem</w:t>
      </w:r>
      <w:r>
        <w:rPr>
          <w:rFonts w:ascii="Roboto" w:hAnsi="Roboto"/>
          <w:szCs w:val="22"/>
        </w:rPr>
        <w:t xml:space="preserve"> </w:t>
      </w:r>
      <w:r w:rsidRPr="0082090E">
        <w:rPr>
          <w:rFonts w:ascii="Roboto" w:hAnsi="Roboto"/>
          <w:szCs w:val="22"/>
        </w:rPr>
        <w:t xml:space="preserve">in § … genannten Grundbesitz </w:t>
      </w:r>
      <w:r>
        <w:rPr>
          <w:rFonts w:ascii="Roboto" w:hAnsi="Roboto"/>
          <w:szCs w:val="22"/>
        </w:rPr>
        <w:t>ü</w:t>
      </w:r>
      <w:r w:rsidRPr="0082090E">
        <w:rPr>
          <w:rFonts w:ascii="Roboto" w:hAnsi="Roboto"/>
          <w:szCs w:val="22"/>
        </w:rPr>
        <w:t>bergeht auf Herrn/Frau … und</w:t>
      </w:r>
      <w:r>
        <w:rPr>
          <w:rFonts w:ascii="Roboto" w:hAnsi="Roboto"/>
          <w:szCs w:val="22"/>
        </w:rPr>
        <w:t xml:space="preserve"> </w:t>
      </w:r>
      <w:r w:rsidRPr="0082090E">
        <w:rPr>
          <w:rFonts w:ascii="Roboto" w:hAnsi="Roboto"/>
          <w:szCs w:val="22"/>
        </w:rPr>
        <w:t xml:space="preserve">Herrn/Frau…als </w:t>
      </w:r>
      <w:proofErr w:type="spellStart"/>
      <w:r w:rsidRPr="0082090E">
        <w:rPr>
          <w:rFonts w:ascii="Roboto" w:hAnsi="Roboto"/>
          <w:szCs w:val="22"/>
        </w:rPr>
        <w:t>Gesamthandseigent</w:t>
      </w:r>
      <w:r>
        <w:rPr>
          <w:rFonts w:ascii="Roboto" w:hAnsi="Roboto"/>
          <w:szCs w:val="22"/>
        </w:rPr>
        <w:t>ü</w:t>
      </w:r>
      <w:r w:rsidRPr="0082090E">
        <w:rPr>
          <w:rFonts w:ascii="Roboto" w:hAnsi="Roboto"/>
          <w:szCs w:val="22"/>
        </w:rPr>
        <w:t>mer</w:t>
      </w:r>
      <w:proofErr w:type="spellEnd"/>
      <w:r w:rsidRPr="0082090E">
        <w:rPr>
          <w:rFonts w:ascii="Roboto" w:hAnsi="Roboto"/>
          <w:szCs w:val="22"/>
        </w:rPr>
        <w:t xml:space="preserve"> in Erbengemeinschaft.</w:t>
      </w:r>
    </w:p>
    <w:p w:rsidR="0082090E" w:rsidRDefault="0082090E" w:rsidP="0082090E">
      <w:pPr>
        <w:rPr>
          <w:rFonts w:ascii="Roboto" w:hAnsi="Roboto"/>
          <w:szCs w:val="22"/>
        </w:rPr>
      </w:pPr>
      <w:proofErr w:type="gramStart"/>
      <w:r w:rsidRPr="0082090E">
        <w:rPr>
          <w:rFonts w:ascii="Roboto" w:hAnsi="Roboto"/>
          <w:szCs w:val="22"/>
        </w:rPr>
        <w:t>Der Ver</w:t>
      </w:r>
      <w:r>
        <w:rPr>
          <w:rFonts w:ascii="Roboto" w:hAnsi="Roboto"/>
          <w:szCs w:val="22"/>
        </w:rPr>
        <w:t>ä</w:t>
      </w:r>
      <w:r w:rsidRPr="0082090E">
        <w:rPr>
          <w:rFonts w:ascii="Roboto" w:hAnsi="Roboto"/>
          <w:szCs w:val="22"/>
        </w:rPr>
        <w:t>ußerer</w:t>
      </w:r>
      <w:proofErr w:type="gramEnd"/>
      <w:r w:rsidRPr="0082090E">
        <w:rPr>
          <w:rFonts w:ascii="Roboto" w:hAnsi="Roboto"/>
          <w:szCs w:val="22"/>
        </w:rPr>
        <w:t xml:space="preserve"> bewilligt und die Erwerber beantragen den Eigentumswechsel</w:t>
      </w:r>
      <w:r>
        <w:rPr>
          <w:rFonts w:ascii="Roboto" w:hAnsi="Roboto"/>
          <w:szCs w:val="22"/>
        </w:rPr>
        <w:t xml:space="preserve"> </w:t>
      </w:r>
      <w:r w:rsidRPr="0082090E">
        <w:rPr>
          <w:rFonts w:ascii="Roboto" w:hAnsi="Roboto"/>
          <w:szCs w:val="22"/>
        </w:rPr>
        <w:t>entsprechend vorstehender Auflassung im Grundbuch</w:t>
      </w:r>
      <w:r>
        <w:rPr>
          <w:rFonts w:ascii="Roboto" w:hAnsi="Roboto"/>
          <w:szCs w:val="22"/>
        </w:rPr>
        <w:t xml:space="preserve"> </w:t>
      </w:r>
      <w:r w:rsidRPr="0082090E">
        <w:rPr>
          <w:rFonts w:ascii="Roboto" w:hAnsi="Roboto"/>
          <w:szCs w:val="22"/>
        </w:rPr>
        <w:t>zu vollziehen und die Erwerber im dort genannten Gemeinschaftsverh</w:t>
      </w:r>
      <w:r>
        <w:rPr>
          <w:rFonts w:ascii="Roboto" w:hAnsi="Roboto"/>
          <w:szCs w:val="22"/>
        </w:rPr>
        <w:t>ä</w:t>
      </w:r>
      <w:r w:rsidRPr="0082090E">
        <w:rPr>
          <w:rFonts w:ascii="Roboto" w:hAnsi="Roboto"/>
          <w:szCs w:val="22"/>
        </w:rPr>
        <w:t>ltnis einzutragen.</w:t>
      </w:r>
    </w:p>
    <w:p w:rsidR="0082090E" w:rsidRDefault="0082090E" w:rsidP="0082090E">
      <w:pPr>
        <w:rPr>
          <w:rFonts w:ascii="Roboto" w:hAnsi="Roboto"/>
          <w:szCs w:val="22"/>
        </w:rPr>
      </w:pPr>
    </w:p>
    <w:p w:rsidR="0082090E" w:rsidRDefault="0082090E" w:rsidP="0082090E">
      <w:pPr>
        <w:rPr>
          <w:rFonts w:ascii="Roboto" w:hAnsi="Roboto"/>
          <w:szCs w:val="22"/>
        </w:rPr>
      </w:pPr>
    </w:p>
    <w:p w:rsidR="0082090E" w:rsidRPr="0082090E" w:rsidRDefault="0082090E" w:rsidP="0082090E">
      <w:pPr>
        <w:rPr>
          <w:rFonts w:ascii="Roboto" w:hAnsi="Roboto"/>
          <w:b/>
          <w:szCs w:val="22"/>
        </w:rPr>
      </w:pPr>
      <w:r w:rsidRPr="0082090E">
        <w:rPr>
          <w:rFonts w:ascii="Roboto" w:hAnsi="Roboto"/>
          <w:b/>
          <w:szCs w:val="22"/>
        </w:rPr>
        <w:t>S. 291</w:t>
      </w:r>
    </w:p>
    <w:p w:rsidR="0082090E" w:rsidRPr="0082090E" w:rsidRDefault="0082090E" w:rsidP="0082090E">
      <w:pPr>
        <w:rPr>
          <w:rFonts w:ascii="Roboto" w:hAnsi="Roboto"/>
          <w:b/>
          <w:szCs w:val="22"/>
        </w:rPr>
      </w:pPr>
      <w:r w:rsidRPr="0082090E">
        <w:rPr>
          <w:rFonts w:ascii="Roboto" w:hAnsi="Roboto"/>
          <w:b/>
          <w:szCs w:val="22"/>
        </w:rPr>
        <w:t>Bei Abruf Tort – Zur Kostenübertragungspflicht für erst nach Eigentumsumschreibung fällige  Sonderumlagen, BGH v. 15.12.2017 . V ZR 257/16, Dr. Jens Jeep</w:t>
      </w:r>
    </w:p>
    <w:p w:rsidR="0082090E" w:rsidRDefault="0082090E" w:rsidP="00842AB0">
      <w:pPr>
        <w:rPr>
          <w:rFonts w:ascii="Roboto" w:hAnsi="Roboto"/>
          <w:b/>
          <w:szCs w:val="22"/>
        </w:rPr>
      </w:pPr>
    </w:p>
    <w:p w:rsidR="0082090E" w:rsidRPr="0082090E" w:rsidRDefault="0082090E" w:rsidP="0082090E">
      <w:pPr>
        <w:rPr>
          <w:rFonts w:ascii="Roboto" w:hAnsi="Roboto"/>
          <w:b/>
          <w:szCs w:val="22"/>
        </w:rPr>
      </w:pPr>
      <w:r w:rsidRPr="0082090E">
        <w:rPr>
          <w:rFonts w:ascii="Roboto" w:hAnsi="Roboto"/>
          <w:b/>
          <w:szCs w:val="22"/>
        </w:rPr>
        <w:t>Zahlungspflicht für beschlossene, aber noch nicht fällige Sonderumlage:</w:t>
      </w:r>
    </w:p>
    <w:p w:rsidR="0082090E" w:rsidRPr="0082090E" w:rsidRDefault="0082090E" w:rsidP="0082090E">
      <w:pPr>
        <w:rPr>
          <w:rFonts w:ascii="Roboto" w:hAnsi="Roboto"/>
          <w:szCs w:val="22"/>
        </w:rPr>
      </w:pPr>
      <w:r w:rsidRPr="0082090E">
        <w:rPr>
          <w:rFonts w:ascii="Roboto" w:hAnsi="Roboto"/>
          <w:szCs w:val="22"/>
        </w:rPr>
        <w:t>Dem</w:t>
      </w:r>
      <w:r>
        <w:rPr>
          <w:rFonts w:ascii="Roboto" w:hAnsi="Roboto"/>
          <w:szCs w:val="22"/>
        </w:rPr>
        <w:t xml:space="preserve"> </w:t>
      </w:r>
      <w:r w:rsidRPr="0082090E">
        <w:rPr>
          <w:rFonts w:ascii="Roboto" w:hAnsi="Roboto"/>
          <w:szCs w:val="22"/>
        </w:rPr>
        <w:t>K</w:t>
      </w:r>
      <w:r>
        <w:rPr>
          <w:rFonts w:ascii="Roboto" w:hAnsi="Roboto"/>
          <w:szCs w:val="22"/>
        </w:rPr>
        <w:t>ä</w:t>
      </w:r>
      <w:r w:rsidRPr="0082090E">
        <w:rPr>
          <w:rFonts w:ascii="Roboto" w:hAnsi="Roboto"/>
          <w:szCs w:val="22"/>
        </w:rPr>
        <w:t>ufer ist die am... beschlossene Sonderumlage f</w:t>
      </w:r>
      <w:r>
        <w:rPr>
          <w:rFonts w:ascii="Roboto" w:hAnsi="Roboto"/>
          <w:szCs w:val="22"/>
        </w:rPr>
        <w:t>ü</w:t>
      </w:r>
      <w:r w:rsidRPr="0082090E">
        <w:rPr>
          <w:rFonts w:ascii="Roboto" w:hAnsi="Roboto"/>
          <w:szCs w:val="22"/>
        </w:rPr>
        <w:t>r Arbeiten</w:t>
      </w:r>
      <w:r>
        <w:rPr>
          <w:rFonts w:ascii="Roboto" w:hAnsi="Roboto"/>
          <w:szCs w:val="22"/>
        </w:rPr>
        <w:t xml:space="preserve"> </w:t>
      </w:r>
      <w:r w:rsidRPr="0082090E">
        <w:rPr>
          <w:rFonts w:ascii="Roboto" w:hAnsi="Roboto"/>
          <w:szCs w:val="22"/>
        </w:rPr>
        <w:t xml:space="preserve">am … bekannt, die bezogen auf den Vertragsgegenstand … </w:t>
      </w:r>
      <w:r>
        <w:rPr>
          <w:rFonts w:ascii="Roboto" w:hAnsi="Roboto"/>
          <w:szCs w:val="22"/>
        </w:rPr>
        <w:t>€ beträ</w:t>
      </w:r>
      <w:r w:rsidRPr="0082090E">
        <w:rPr>
          <w:rFonts w:ascii="Roboto" w:hAnsi="Roboto"/>
          <w:szCs w:val="22"/>
        </w:rPr>
        <w:t>gt. Diese ist noch nicht f</w:t>
      </w:r>
      <w:r>
        <w:rPr>
          <w:rFonts w:ascii="Roboto" w:hAnsi="Roboto"/>
          <w:szCs w:val="22"/>
        </w:rPr>
        <w:t>ä</w:t>
      </w:r>
      <w:r w:rsidRPr="0082090E">
        <w:rPr>
          <w:rFonts w:ascii="Roboto" w:hAnsi="Roboto"/>
          <w:szCs w:val="22"/>
        </w:rPr>
        <w:t>llig.</w:t>
      </w:r>
    </w:p>
    <w:p w:rsidR="0082090E" w:rsidRDefault="0082090E" w:rsidP="0082090E">
      <w:pPr>
        <w:rPr>
          <w:rFonts w:ascii="Roboto" w:hAnsi="Roboto"/>
          <w:szCs w:val="22"/>
        </w:rPr>
      </w:pPr>
      <w:r w:rsidRPr="0082090E">
        <w:rPr>
          <w:rFonts w:ascii="Roboto" w:hAnsi="Roboto"/>
          <w:szCs w:val="22"/>
        </w:rPr>
        <w:t>Wird die Umlage erst nach F</w:t>
      </w:r>
      <w:r>
        <w:rPr>
          <w:rFonts w:ascii="Roboto" w:hAnsi="Roboto"/>
          <w:szCs w:val="22"/>
        </w:rPr>
        <w:t>ä</w:t>
      </w:r>
      <w:r w:rsidRPr="0082090E">
        <w:rPr>
          <w:rFonts w:ascii="Roboto" w:hAnsi="Roboto"/>
          <w:szCs w:val="22"/>
        </w:rPr>
        <w:t>lligkeit des Kaufpreises vom Verwalter</w:t>
      </w:r>
      <w:r>
        <w:rPr>
          <w:rFonts w:ascii="Roboto" w:hAnsi="Roboto"/>
          <w:szCs w:val="22"/>
        </w:rPr>
        <w:t xml:space="preserve"> </w:t>
      </w:r>
      <w:r w:rsidRPr="0082090E">
        <w:rPr>
          <w:rFonts w:ascii="Roboto" w:hAnsi="Roboto"/>
          <w:szCs w:val="22"/>
        </w:rPr>
        <w:t>abgerufen, so ist sie unmittelbar vom K</w:t>
      </w:r>
      <w:r>
        <w:rPr>
          <w:rFonts w:ascii="Roboto" w:hAnsi="Roboto"/>
          <w:szCs w:val="22"/>
        </w:rPr>
        <w:t>ä</w:t>
      </w:r>
      <w:r w:rsidRPr="0082090E">
        <w:rPr>
          <w:rFonts w:ascii="Roboto" w:hAnsi="Roboto"/>
          <w:szCs w:val="22"/>
        </w:rPr>
        <w:t>ufer zu zahlen. Bei Abruf</w:t>
      </w:r>
      <w:r>
        <w:rPr>
          <w:rFonts w:ascii="Roboto" w:hAnsi="Roboto"/>
          <w:szCs w:val="22"/>
        </w:rPr>
        <w:t xml:space="preserve"> </w:t>
      </w:r>
      <w:r w:rsidRPr="0082090E">
        <w:rPr>
          <w:rFonts w:ascii="Roboto" w:hAnsi="Roboto"/>
          <w:szCs w:val="22"/>
        </w:rPr>
        <w:t>vor F</w:t>
      </w:r>
      <w:r>
        <w:rPr>
          <w:rFonts w:ascii="Roboto" w:hAnsi="Roboto"/>
          <w:szCs w:val="22"/>
        </w:rPr>
        <w:t>ä</w:t>
      </w:r>
      <w:r w:rsidRPr="0082090E">
        <w:rPr>
          <w:rFonts w:ascii="Roboto" w:hAnsi="Roboto"/>
          <w:szCs w:val="22"/>
        </w:rPr>
        <w:t>lligkeit des Kaufpreises ist die Umlage vorerst vom Verk</w:t>
      </w:r>
      <w:r>
        <w:rPr>
          <w:rFonts w:ascii="Roboto" w:hAnsi="Roboto"/>
          <w:szCs w:val="22"/>
        </w:rPr>
        <w:t>ä</w:t>
      </w:r>
      <w:r w:rsidRPr="0082090E">
        <w:rPr>
          <w:rFonts w:ascii="Roboto" w:hAnsi="Roboto"/>
          <w:szCs w:val="22"/>
        </w:rPr>
        <w:t>ufer</w:t>
      </w:r>
      <w:r>
        <w:rPr>
          <w:rFonts w:ascii="Roboto" w:hAnsi="Roboto"/>
          <w:szCs w:val="22"/>
        </w:rPr>
        <w:t xml:space="preserve"> </w:t>
      </w:r>
      <w:r w:rsidRPr="0082090E">
        <w:rPr>
          <w:rFonts w:ascii="Roboto" w:hAnsi="Roboto"/>
          <w:szCs w:val="22"/>
        </w:rPr>
        <w:t>zu begleichen, ihm aber vom K</w:t>
      </w:r>
      <w:r>
        <w:rPr>
          <w:rFonts w:ascii="Roboto" w:hAnsi="Roboto"/>
          <w:szCs w:val="22"/>
        </w:rPr>
        <w:t>ä</w:t>
      </w:r>
      <w:r w:rsidRPr="0082090E">
        <w:rPr>
          <w:rFonts w:ascii="Roboto" w:hAnsi="Roboto"/>
          <w:szCs w:val="22"/>
        </w:rPr>
        <w:t>ufermit dem Kaufpreis zu erstatten.</w:t>
      </w:r>
    </w:p>
    <w:p w:rsidR="0082090E" w:rsidRDefault="0082090E" w:rsidP="0082090E">
      <w:pPr>
        <w:rPr>
          <w:rFonts w:ascii="Roboto" w:hAnsi="Roboto"/>
          <w:szCs w:val="22"/>
        </w:rPr>
      </w:pPr>
    </w:p>
    <w:p w:rsidR="0082090E" w:rsidRDefault="0082090E" w:rsidP="0082090E">
      <w:pPr>
        <w:rPr>
          <w:rFonts w:ascii="Roboto" w:hAnsi="Roboto"/>
          <w:szCs w:val="22"/>
        </w:rPr>
      </w:pPr>
    </w:p>
    <w:p w:rsidR="000E49BB" w:rsidRDefault="000E49BB">
      <w:pPr>
        <w:rPr>
          <w:rFonts w:ascii="Roboto" w:hAnsi="Roboto"/>
          <w:b/>
          <w:szCs w:val="22"/>
        </w:rPr>
      </w:pPr>
      <w:r>
        <w:rPr>
          <w:rFonts w:ascii="Roboto" w:hAnsi="Roboto"/>
          <w:b/>
          <w:szCs w:val="22"/>
        </w:rPr>
        <w:br w:type="page"/>
      </w:r>
    </w:p>
    <w:p w:rsidR="000E49BB" w:rsidRDefault="0082090E" w:rsidP="0082090E">
      <w:pPr>
        <w:rPr>
          <w:rFonts w:ascii="Roboto" w:hAnsi="Roboto"/>
          <w:b/>
          <w:szCs w:val="22"/>
        </w:rPr>
      </w:pPr>
      <w:proofErr w:type="spellStart"/>
      <w:r>
        <w:rPr>
          <w:rFonts w:ascii="Roboto" w:hAnsi="Roboto"/>
          <w:b/>
          <w:szCs w:val="22"/>
        </w:rPr>
        <w:lastRenderedPageBreak/>
        <w:t>p</w:t>
      </w:r>
      <w:r w:rsidRPr="0082090E">
        <w:rPr>
          <w:rFonts w:ascii="Roboto" w:hAnsi="Roboto"/>
          <w:b/>
          <w:szCs w:val="22"/>
        </w:rPr>
        <w:t>raxisforum</w:t>
      </w:r>
      <w:proofErr w:type="spellEnd"/>
      <w:r w:rsidRPr="0082090E">
        <w:rPr>
          <w:rFonts w:ascii="Roboto" w:hAnsi="Roboto"/>
          <w:b/>
          <w:szCs w:val="22"/>
        </w:rPr>
        <w:t>:</w:t>
      </w:r>
      <w:r w:rsidR="000E49BB">
        <w:rPr>
          <w:rFonts w:ascii="Roboto" w:hAnsi="Roboto"/>
          <w:b/>
          <w:szCs w:val="22"/>
        </w:rPr>
        <w:t xml:space="preserve"> Die neue Gesellschafterlistenverordnung – Gestaltungsempfehlungen für die notarielle Praxis</w:t>
      </w:r>
    </w:p>
    <w:p w:rsidR="000E49BB" w:rsidRDefault="000E49BB" w:rsidP="0082090E">
      <w:pPr>
        <w:rPr>
          <w:rFonts w:ascii="Roboto" w:hAnsi="Roboto"/>
          <w:b/>
          <w:szCs w:val="22"/>
        </w:rPr>
      </w:pPr>
    </w:p>
    <w:p w:rsidR="000E49BB" w:rsidRDefault="000E49BB" w:rsidP="0082090E">
      <w:pPr>
        <w:rPr>
          <w:rFonts w:ascii="Roboto" w:hAnsi="Roboto"/>
          <w:b/>
          <w:szCs w:val="22"/>
        </w:rPr>
      </w:pPr>
      <w:r w:rsidRPr="000E49BB">
        <w:rPr>
          <w:rFonts w:ascii="Roboto" w:hAnsi="Roboto"/>
          <w:b/>
          <w:szCs w:val="22"/>
        </w:rPr>
        <w:t>S. 293</w:t>
      </w:r>
    </w:p>
    <w:p w:rsidR="000E49BB" w:rsidRPr="000E49BB" w:rsidRDefault="000E49BB" w:rsidP="0082090E">
      <w:pPr>
        <w:rPr>
          <w:rFonts w:ascii="Roboto" w:hAnsi="Roboto"/>
          <w:b/>
          <w:szCs w:val="22"/>
        </w:rPr>
      </w:pPr>
    </w:p>
    <w:tbl>
      <w:tblPr>
        <w:tblW w:w="5000" w:type="pct"/>
        <w:tblBorders>
          <w:top w:val="single" w:sz="4" w:space="0" w:color="auto"/>
          <w:left w:val="single" w:sz="4" w:space="0" w:color="auto"/>
          <w:bottom w:val="single" w:sz="4" w:space="0" w:color="auto"/>
          <w:right w:val="single" w:sz="4" w:space="0" w:color="auto"/>
        </w:tblBorders>
        <w:shd w:val="clear" w:color="auto" w:fill="E3F0F0"/>
        <w:tblCellMar>
          <w:left w:w="70" w:type="dxa"/>
          <w:right w:w="70" w:type="dxa"/>
        </w:tblCellMar>
        <w:tblLook w:val="01E0" w:firstRow="1" w:lastRow="1" w:firstColumn="1" w:lastColumn="1" w:noHBand="0" w:noVBand="0"/>
      </w:tblPr>
      <w:tblGrid>
        <w:gridCol w:w="1497"/>
        <w:gridCol w:w="1723"/>
        <w:gridCol w:w="1722"/>
        <w:gridCol w:w="1722"/>
        <w:gridCol w:w="1912"/>
        <w:gridCol w:w="2030"/>
      </w:tblGrid>
      <w:tr w:rsidR="000E49BB" w:rsidRPr="00874B24" w:rsidTr="000E49BB">
        <w:tc>
          <w:tcPr>
            <w:tcW w:w="5000" w:type="pct"/>
            <w:gridSpan w:val="6"/>
            <w:shd w:val="clear" w:color="auto" w:fill="E3F0F0"/>
            <w:hideMark/>
          </w:tcPr>
          <w:p w:rsidR="000E49BB" w:rsidRDefault="000E49BB" w:rsidP="00364716">
            <w:pPr>
              <w:pStyle w:val="10Standard"/>
              <w:rPr>
                <w:b/>
              </w:rPr>
            </w:pPr>
            <w:r w:rsidRPr="0039152E">
              <w:rPr>
                <w:b/>
              </w:rPr>
              <w:t>Formulierungsvorschlag</w:t>
            </w:r>
            <w:r>
              <w:rPr>
                <w:b/>
              </w:rPr>
              <w:t>:</w:t>
            </w:r>
            <w:r w:rsidRPr="0039152E">
              <w:rPr>
                <w:b/>
              </w:rPr>
              <w:t xml:space="preserve"> </w:t>
            </w:r>
          </w:p>
          <w:p w:rsidR="000E49BB" w:rsidRPr="00874B24" w:rsidRDefault="000E49BB" w:rsidP="00364716">
            <w:pPr>
              <w:pStyle w:val="10Standard"/>
              <w:jc w:val="center"/>
              <w:rPr>
                <w:i/>
              </w:rPr>
            </w:pPr>
            <w:r>
              <w:rPr>
                <w:i/>
              </w:rPr>
              <w:t xml:space="preserve">Liste der </w:t>
            </w:r>
            <w:r w:rsidRPr="00874B24">
              <w:rPr>
                <w:i/>
              </w:rPr>
              <w:t>Gesellschafter</w:t>
            </w:r>
            <w:r>
              <w:rPr>
                <w:i/>
              </w:rPr>
              <w:t xml:space="preserve"> der Muster GmbH</w:t>
            </w:r>
          </w:p>
          <w:p w:rsidR="000E49BB" w:rsidRDefault="000E49BB" w:rsidP="00364716">
            <w:pPr>
              <w:pStyle w:val="10Standard"/>
              <w:jc w:val="center"/>
              <w:rPr>
                <w:i/>
              </w:rPr>
            </w:pPr>
            <w:r>
              <w:rPr>
                <w:i/>
              </w:rPr>
              <w:t>Sitz: Leipzig</w:t>
            </w:r>
          </w:p>
          <w:p w:rsidR="000E49BB" w:rsidRDefault="000E49BB" w:rsidP="00364716">
            <w:pPr>
              <w:pStyle w:val="10Standard"/>
              <w:jc w:val="center"/>
              <w:rPr>
                <w:i/>
              </w:rPr>
            </w:pPr>
            <w:r>
              <w:rPr>
                <w:i/>
              </w:rPr>
              <w:t>Amtsgericht Leipzig</w:t>
            </w:r>
          </w:p>
          <w:p w:rsidR="000E49BB" w:rsidRPr="00874B24" w:rsidRDefault="000E49BB" w:rsidP="00364716">
            <w:pPr>
              <w:pStyle w:val="10Standard"/>
              <w:jc w:val="center"/>
              <w:rPr>
                <w:i/>
              </w:rPr>
            </w:pPr>
            <w:r>
              <w:rPr>
                <w:i/>
              </w:rPr>
              <w:t>HRB 1210</w:t>
            </w:r>
          </w:p>
        </w:tc>
      </w:tr>
      <w:tr w:rsidR="000E49BB" w:rsidRPr="00944446" w:rsidTr="000E49BB">
        <w:tblPrEx>
          <w:tblBorders>
            <w:insideH w:val="single" w:sz="4" w:space="0" w:color="auto"/>
            <w:insideV w:val="single" w:sz="4" w:space="0" w:color="auto"/>
          </w:tblBorders>
          <w:shd w:val="clear" w:color="auto" w:fill="auto"/>
        </w:tblPrEx>
        <w:tc>
          <w:tcPr>
            <w:tcW w:w="706" w:type="pct"/>
            <w:tcBorders>
              <w:top w:val="single" w:sz="4" w:space="0" w:color="auto"/>
              <w:left w:val="single" w:sz="4" w:space="0" w:color="auto"/>
              <w:bottom w:val="single" w:sz="4" w:space="0" w:color="auto"/>
              <w:right w:val="single" w:sz="4" w:space="0" w:color="auto"/>
            </w:tcBorders>
            <w:shd w:val="clear" w:color="auto" w:fill="8EC1C1"/>
            <w:hideMark/>
          </w:tcPr>
          <w:p w:rsidR="000E49BB" w:rsidRPr="008A727C" w:rsidRDefault="000E49BB" w:rsidP="00364716">
            <w:pPr>
              <w:pStyle w:val="10Standard"/>
              <w:rPr>
                <w:b/>
                <w:i/>
              </w:rPr>
            </w:pPr>
            <w:r w:rsidRPr="008A727C">
              <w:rPr>
                <w:b/>
                <w:i/>
              </w:rPr>
              <w:t>Gesellschafter</w:t>
            </w:r>
          </w:p>
        </w:tc>
        <w:tc>
          <w:tcPr>
            <w:tcW w:w="812" w:type="pct"/>
            <w:tcBorders>
              <w:top w:val="single" w:sz="4" w:space="0" w:color="auto"/>
              <w:left w:val="single" w:sz="4" w:space="0" w:color="auto"/>
              <w:bottom w:val="single" w:sz="4" w:space="0" w:color="auto"/>
              <w:right w:val="single" w:sz="4" w:space="0" w:color="auto"/>
            </w:tcBorders>
            <w:shd w:val="clear" w:color="auto" w:fill="8EC1C1"/>
            <w:hideMark/>
          </w:tcPr>
          <w:p w:rsidR="000E49BB" w:rsidRPr="008A727C" w:rsidRDefault="000E49BB" w:rsidP="00364716">
            <w:pPr>
              <w:pStyle w:val="10Standard"/>
              <w:rPr>
                <w:b/>
                <w:i/>
              </w:rPr>
            </w:pPr>
            <w:r w:rsidRPr="008A727C">
              <w:rPr>
                <w:b/>
                <w:i/>
              </w:rPr>
              <w:t>Laufende Nummer/n des Geschäftsanteils</w:t>
            </w:r>
          </w:p>
        </w:tc>
        <w:tc>
          <w:tcPr>
            <w:tcW w:w="812" w:type="pct"/>
            <w:tcBorders>
              <w:top w:val="single" w:sz="4" w:space="0" w:color="auto"/>
              <w:left w:val="single" w:sz="4" w:space="0" w:color="auto"/>
              <w:bottom w:val="single" w:sz="4" w:space="0" w:color="auto"/>
              <w:right w:val="single" w:sz="4" w:space="0" w:color="auto"/>
            </w:tcBorders>
            <w:shd w:val="clear" w:color="auto" w:fill="8EC1C1"/>
            <w:hideMark/>
          </w:tcPr>
          <w:p w:rsidR="000E49BB" w:rsidRPr="008A727C" w:rsidRDefault="000E49BB" w:rsidP="00364716">
            <w:pPr>
              <w:pStyle w:val="10Standard"/>
              <w:rPr>
                <w:b/>
                <w:i/>
              </w:rPr>
            </w:pPr>
            <w:r w:rsidRPr="008A727C">
              <w:rPr>
                <w:b/>
                <w:i/>
              </w:rPr>
              <w:t xml:space="preserve">Nennbetrag </w:t>
            </w:r>
            <w:r>
              <w:rPr>
                <w:b/>
                <w:i/>
              </w:rPr>
              <w:t>des</w:t>
            </w:r>
            <w:r w:rsidRPr="008A727C">
              <w:rPr>
                <w:b/>
                <w:i/>
              </w:rPr>
              <w:t xml:space="preserve"> Geschäftsanteils </w:t>
            </w:r>
          </w:p>
        </w:tc>
        <w:tc>
          <w:tcPr>
            <w:tcW w:w="812" w:type="pct"/>
            <w:tcBorders>
              <w:top w:val="single" w:sz="4" w:space="0" w:color="auto"/>
              <w:left w:val="single" w:sz="4" w:space="0" w:color="auto"/>
              <w:bottom w:val="single" w:sz="4" w:space="0" w:color="auto"/>
              <w:right w:val="single" w:sz="4" w:space="0" w:color="auto"/>
            </w:tcBorders>
            <w:shd w:val="clear" w:color="auto" w:fill="8EC1C1"/>
            <w:hideMark/>
          </w:tcPr>
          <w:p w:rsidR="000E49BB" w:rsidRPr="008A727C" w:rsidRDefault="000E49BB" w:rsidP="00364716">
            <w:pPr>
              <w:pStyle w:val="10Standard"/>
              <w:rPr>
                <w:b/>
                <w:i/>
              </w:rPr>
            </w:pPr>
            <w:r w:rsidRPr="00944446">
              <w:rPr>
                <w:b/>
                <w:i/>
              </w:rPr>
              <w:t>Prozentzahl, die der Nennbetrag des Geschäftsanteils am Stammkapital vermittelt</w:t>
            </w:r>
          </w:p>
        </w:tc>
        <w:tc>
          <w:tcPr>
            <w:tcW w:w="901" w:type="pct"/>
            <w:tcBorders>
              <w:top w:val="single" w:sz="4" w:space="0" w:color="auto"/>
              <w:left w:val="single" w:sz="4" w:space="0" w:color="auto"/>
              <w:bottom w:val="single" w:sz="4" w:space="0" w:color="auto"/>
              <w:right w:val="single" w:sz="4" w:space="0" w:color="auto"/>
            </w:tcBorders>
            <w:shd w:val="clear" w:color="auto" w:fill="8EC1C1"/>
            <w:hideMark/>
          </w:tcPr>
          <w:p w:rsidR="000E49BB" w:rsidRPr="008A727C" w:rsidRDefault="000E49BB" w:rsidP="00364716">
            <w:pPr>
              <w:pStyle w:val="10Standard"/>
              <w:rPr>
                <w:b/>
                <w:i/>
              </w:rPr>
            </w:pPr>
            <w:r w:rsidRPr="00944446">
              <w:rPr>
                <w:b/>
                <w:i/>
              </w:rPr>
              <w:t>Prozentzahl der Gesamtbeteiligung</w:t>
            </w:r>
          </w:p>
        </w:tc>
        <w:tc>
          <w:tcPr>
            <w:tcW w:w="957" w:type="pct"/>
            <w:tcBorders>
              <w:top w:val="single" w:sz="4" w:space="0" w:color="auto"/>
              <w:left w:val="single" w:sz="4" w:space="0" w:color="auto"/>
              <w:bottom w:val="single" w:sz="4" w:space="0" w:color="auto"/>
              <w:right w:val="single" w:sz="4" w:space="0" w:color="auto"/>
            </w:tcBorders>
            <w:shd w:val="clear" w:color="auto" w:fill="8EC1C1"/>
          </w:tcPr>
          <w:p w:rsidR="000E49BB" w:rsidRPr="00944446" w:rsidRDefault="000E49BB" w:rsidP="00364716">
            <w:pPr>
              <w:pStyle w:val="10Standard"/>
              <w:rPr>
                <w:b/>
                <w:i/>
              </w:rPr>
            </w:pPr>
            <w:r>
              <w:rPr>
                <w:b/>
                <w:i/>
              </w:rPr>
              <w:t>Veränderungsspalte</w:t>
            </w:r>
          </w:p>
        </w:tc>
      </w:tr>
      <w:tr w:rsidR="000E49BB" w:rsidRPr="008A727C" w:rsidTr="000E49BB">
        <w:tblPrEx>
          <w:tblBorders>
            <w:insideH w:val="single" w:sz="4" w:space="0" w:color="auto"/>
            <w:insideV w:val="single" w:sz="4" w:space="0" w:color="auto"/>
          </w:tblBorders>
          <w:shd w:val="clear" w:color="auto" w:fill="auto"/>
        </w:tblPrEx>
        <w:trPr>
          <w:trHeight w:val="284"/>
        </w:trPr>
        <w:tc>
          <w:tcPr>
            <w:tcW w:w="706" w:type="pct"/>
            <w:tcBorders>
              <w:top w:val="single" w:sz="4" w:space="0" w:color="auto"/>
              <w:left w:val="single" w:sz="4" w:space="0" w:color="auto"/>
              <w:bottom w:val="single" w:sz="4" w:space="0" w:color="auto"/>
              <w:right w:val="single" w:sz="4" w:space="0" w:color="auto"/>
            </w:tcBorders>
            <w:shd w:val="clear" w:color="auto" w:fill="B0D4D4"/>
            <w:hideMark/>
          </w:tcPr>
          <w:p w:rsidR="000E49BB" w:rsidRDefault="000E49BB" w:rsidP="00364716">
            <w:pPr>
              <w:pStyle w:val="10Standard"/>
              <w:rPr>
                <w:i/>
              </w:rPr>
            </w:pPr>
            <w:r w:rsidRPr="008A727C">
              <w:rPr>
                <w:i/>
              </w:rPr>
              <w:t>Max Muster,</w:t>
            </w:r>
          </w:p>
          <w:p w:rsidR="000E49BB" w:rsidRPr="008A727C" w:rsidRDefault="000E49BB" w:rsidP="000E49BB">
            <w:pPr>
              <w:pStyle w:val="10Standard"/>
              <w:rPr>
                <w:i/>
              </w:rPr>
            </w:pPr>
            <w:r w:rsidRPr="008A727C">
              <w:rPr>
                <w:i/>
              </w:rPr>
              <w:t xml:space="preserve">geb. am </w:t>
            </w:r>
            <w:r w:rsidRPr="000E49BB">
              <w:rPr>
                <w:i/>
              </w:rPr>
              <w:t>…,</w:t>
            </w:r>
            <w:r>
              <w:rPr>
                <w:i/>
              </w:rPr>
              <w:t xml:space="preserve"> Passau</w:t>
            </w:r>
          </w:p>
        </w:tc>
        <w:tc>
          <w:tcPr>
            <w:tcW w:w="812"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874B24" w:rsidRDefault="000E49BB" w:rsidP="00364716">
            <w:pPr>
              <w:pStyle w:val="10Standard"/>
              <w:rPr>
                <w:b/>
                <w:i/>
              </w:rPr>
            </w:pPr>
            <w:r w:rsidRPr="00874B24">
              <w:rPr>
                <w:b/>
                <w:i/>
              </w:rPr>
              <w:t>1, 3</w:t>
            </w:r>
          </w:p>
          <w:p w:rsidR="000E49BB" w:rsidRPr="00874B24" w:rsidRDefault="000E49BB" w:rsidP="00364716">
            <w:pPr>
              <w:pStyle w:val="10Standard"/>
              <w:rPr>
                <w:b/>
                <w:i/>
              </w:rPr>
            </w:pPr>
          </w:p>
          <w:p w:rsidR="000E49BB" w:rsidRPr="00874B24" w:rsidRDefault="000E49BB" w:rsidP="00364716">
            <w:pPr>
              <w:pStyle w:val="10Standard"/>
              <w:rPr>
                <w:b/>
                <w:i/>
              </w:rPr>
            </w:pPr>
            <w:r w:rsidRPr="00874B24">
              <w:rPr>
                <w:b/>
                <w:i/>
              </w:rPr>
              <w:t>4</w:t>
            </w:r>
          </w:p>
        </w:tc>
        <w:tc>
          <w:tcPr>
            <w:tcW w:w="812"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874B24" w:rsidRDefault="000E49BB" w:rsidP="00364716">
            <w:pPr>
              <w:pStyle w:val="10Standard"/>
              <w:rPr>
                <w:b/>
                <w:i/>
              </w:rPr>
            </w:pPr>
            <w:r w:rsidRPr="00874B24">
              <w:rPr>
                <w:b/>
                <w:i/>
              </w:rPr>
              <w:t>je 2.500 €</w:t>
            </w:r>
          </w:p>
          <w:p w:rsidR="000E49BB" w:rsidRPr="00874B24" w:rsidRDefault="000E49BB" w:rsidP="00364716">
            <w:pPr>
              <w:pStyle w:val="10Standard"/>
              <w:rPr>
                <w:b/>
                <w:i/>
              </w:rPr>
            </w:pPr>
          </w:p>
          <w:p w:rsidR="000E49BB" w:rsidRPr="00874B24" w:rsidRDefault="000E49BB" w:rsidP="00364716">
            <w:pPr>
              <w:pStyle w:val="10Standard"/>
              <w:rPr>
                <w:b/>
                <w:i/>
              </w:rPr>
            </w:pPr>
            <w:r w:rsidRPr="00874B24">
              <w:rPr>
                <w:b/>
                <w:i/>
              </w:rPr>
              <w:t>10.000 €</w:t>
            </w:r>
          </w:p>
        </w:tc>
        <w:tc>
          <w:tcPr>
            <w:tcW w:w="812"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874B24" w:rsidRDefault="000E49BB" w:rsidP="00364716">
            <w:pPr>
              <w:pStyle w:val="10Standard"/>
              <w:rPr>
                <w:b/>
                <w:i/>
              </w:rPr>
            </w:pPr>
            <w:r w:rsidRPr="00874B24">
              <w:rPr>
                <w:b/>
                <w:i/>
              </w:rPr>
              <w:t>je 10 %</w:t>
            </w:r>
          </w:p>
          <w:p w:rsidR="000E49BB" w:rsidRPr="00874B24" w:rsidRDefault="000E49BB" w:rsidP="00364716">
            <w:pPr>
              <w:pStyle w:val="10Standard"/>
              <w:rPr>
                <w:b/>
                <w:i/>
              </w:rPr>
            </w:pPr>
          </w:p>
          <w:p w:rsidR="000E49BB" w:rsidRPr="00874B24" w:rsidRDefault="000E49BB" w:rsidP="00364716">
            <w:pPr>
              <w:pStyle w:val="10Standard"/>
              <w:rPr>
                <w:b/>
                <w:i/>
              </w:rPr>
            </w:pPr>
            <w:r w:rsidRPr="00874B24">
              <w:rPr>
                <w:b/>
                <w:i/>
              </w:rPr>
              <w:t>40 %</w:t>
            </w:r>
          </w:p>
        </w:tc>
        <w:tc>
          <w:tcPr>
            <w:tcW w:w="901"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0E49BB" w:rsidRDefault="000E49BB" w:rsidP="00364716">
            <w:pPr>
              <w:pStyle w:val="10Standard"/>
              <w:rPr>
                <w:b/>
                <w:i/>
              </w:rPr>
            </w:pPr>
            <w:r w:rsidRPr="000E49BB">
              <w:rPr>
                <w:b/>
                <w:i/>
              </w:rPr>
              <w:t>60 %</w:t>
            </w:r>
          </w:p>
        </w:tc>
        <w:tc>
          <w:tcPr>
            <w:tcW w:w="957" w:type="pct"/>
            <w:tcBorders>
              <w:top w:val="single" w:sz="4" w:space="0" w:color="auto"/>
              <w:left w:val="single" w:sz="4" w:space="0" w:color="auto"/>
              <w:bottom w:val="single" w:sz="4" w:space="0" w:color="auto"/>
              <w:right w:val="single" w:sz="4" w:space="0" w:color="auto"/>
            </w:tcBorders>
            <w:shd w:val="clear" w:color="auto" w:fill="E3F0F0"/>
          </w:tcPr>
          <w:p w:rsidR="000E49BB" w:rsidRPr="008A727C" w:rsidRDefault="000E49BB" w:rsidP="00364716">
            <w:pPr>
              <w:pStyle w:val="10Standard"/>
              <w:rPr>
                <w:i/>
              </w:rPr>
            </w:pPr>
          </w:p>
        </w:tc>
      </w:tr>
      <w:tr w:rsidR="000E49BB" w:rsidRPr="008A727C" w:rsidTr="000E49BB">
        <w:tblPrEx>
          <w:tblBorders>
            <w:insideH w:val="single" w:sz="4" w:space="0" w:color="auto"/>
            <w:insideV w:val="single" w:sz="4" w:space="0" w:color="auto"/>
          </w:tblBorders>
          <w:shd w:val="clear" w:color="auto" w:fill="auto"/>
        </w:tblPrEx>
        <w:trPr>
          <w:trHeight w:val="284"/>
        </w:trPr>
        <w:tc>
          <w:tcPr>
            <w:tcW w:w="706" w:type="pct"/>
            <w:tcBorders>
              <w:top w:val="single" w:sz="4" w:space="0" w:color="auto"/>
              <w:left w:val="single" w:sz="4" w:space="0" w:color="auto"/>
              <w:bottom w:val="single" w:sz="4" w:space="0" w:color="auto"/>
              <w:right w:val="single" w:sz="4" w:space="0" w:color="auto"/>
            </w:tcBorders>
            <w:shd w:val="clear" w:color="auto" w:fill="B0D4D4"/>
            <w:hideMark/>
          </w:tcPr>
          <w:p w:rsidR="000E49BB" w:rsidRPr="00944446" w:rsidRDefault="000E49BB" w:rsidP="00364716">
            <w:pPr>
              <w:pStyle w:val="10Standard"/>
              <w:rPr>
                <w:i/>
              </w:rPr>
            </w:pPr>
            <w:r w:rsidRPr="00944446">
              <w:rPr>
                <w:i/>
              </w:rPr>
              <w:t>Muster AG,</w:t>
            </w:r>
          </w:p>
          <w:p w:rsidR="000E49BB" w:rsidRPr="00944446" w:rsidRDefault="000E49BB" w:rsidP="00364716">
            <w:pPr>
              <w:pStyle w:val="10Standard"/>
              <w:rPr>
                <w:i/>
              </w:rPr>
            </w:pPr>
            <w:r w:rsidRPr="00944446">
              <w:rPr>
                <w:i/>
              </w:rPr>
              <w:t>Markleeberg,</w:t>
            </w:r>
          </w:p>
          <w:p w:rsidR="000E49BB" w:rsidRDefault="000E49BB" w:rsidP="00364716">
            <w:pPr>
              <w:pStyle w:val="10Standard"/>
              <w:rPr>
                <w:i/>
              </w:rPr>
            </w:pPr>
            <w:r w:rsidRPr="00944446">
              <w:rPr>
                <w:i/>
              </w:rPr>
              <w:t>AG Leipzig,</w:t>
            </w:r>
          </w:p>
          <w:p w:rsidR="000E49BB" w:rsidRPr="008A727C" w:rsidRDefault="000E49BB" w:rsidP="00364716">
            <w:pPr>
              <w:pStyle w:val="10Standard"/>
            </w:pPr>
            <w:r w:rsidRPr="00944446">
              <w:rPr>
                <w:i/>
              </w:rPr>
              <w:t xml:space="preserve">HRB </w:t>
            </w:r>
            <w:r>
              <w:rPr>
                <w:i/>
              </w:rPr>
              <w:t>…</w:t>
            </w:r>
          </w:p>
        </w:tc>
        <w:tc>
          <w:tcPr>
            <w:tcW w:w="812"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874B24" w:rsidRDefault="000E49BB" w:rsidP="00364716">
            <w:pPr>
              <w:pStyle w:val="10Standard"/>
              <w:rPr>
                <w:b/>
                <w:i/>
              </w:rPr>
            </w:pPr>
            <w:r w:rsidRPr="00874B24">
              <w:rPr>
                <w:b/>
                <w:i/>
              </w:rPr>
              <w:t>5</w:t>
            </w:r>
          </w:p>
        </w:tc>
        <w:tc>
          <w:tcPr>
            <w:tcW w:w="812"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874B24" w:rsidRDefault="000E49BB" w:rsidP="00364716">
            <w:pPr>
              <w:pStyle w:val="10Standard"/>
              <w:rPr>
                <w:b/>
                <w:i/>
              </w:rPr>
            </w:pPr>
            <w:r w:rsidRPr="00874B24">
              <w:rPr>
                <w:b/>
                <w:i/>
              </w:rPr>
              <w:t>5.000 €</w:t>
            </w:r>
          </w:p>
        </w:tc>
        <w:tc>
          <w:tcPr>
            <w:tcW w:w="812"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874B24" w:rsidRDefault="000E49BB" w:rsidP="00364716">
            <w:pPr>
              <w:pStyle w:val="10Standard"/>
              <w:rPr>
                <w:b/>
                <w:i/>
              </w:rPr>
            </w:pPr>
            <w:r w:rsidRPr="000E49BB">
              <w:rPr>
                <w:b/>
                <w:i/>
              </w:rPr>
              <w:t>20 %</w:t>
            </w:r>
          </w:p>
        </w:tc>
        <w:tc>
          <w:tcPr>
            <w:tcW w:w="901"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0E49BB" w:rsidRDefault="000E49BB" w:rsidP="00364716">
            <w:pPr>
              <w:pStyle w:val="10Standard"/>
              <w:rPr>
                <w:b/>
                <w:i/>
              </w:rPr>
            </w:pPr>
            <w:r w:rsidRPr="000E49BB">
              <w:rPr>
                <w:b/>
                <w:i/>
              </w:rPr>
              <w:t>20 %</w:t>
            </w:r>
          </w:p>
        </w:tc>
        <w:tc>
          <w:tcPr>
            <w:tcW w:w="957" w:type="pct"/>
            <w:tcBorders>
              <w:top w:val="single" w:sz="4" w:space="0" w:color="auto"/>
              <w:left w:val="single" w:sz="4" w:space="0" w:color="auto"/>
              <w:bottom w:val="single" w:sz="4" w:space="0" w:color="auto"/>
              <w:right w:val="single" w:sz="4" w:space="0" w:color="auto"/>
            </w:tcBorders>
            <w:shd w:val="clear" w:color="auto" w:fill="E3F0F0"/>
          </w:tcPr>
          <w:p w:rsidR="000E49BB" w:rsidRPr="008A727C" w:rsidRDefault="000E49BB" w:rsidP="00364716">
            <w:pPr>
              <w:pStyle w:val="10Standard"/>
              <w:rPr>
                <w:i/>
              </w:rPr>
            </w:pPr>
            <w:r w:rsidRPr="00944446">
              <w:rPr>
                <w:i/>
              </w:rPr>
              <w:t>Entstanden aus dem früheren Geschäftsanteil Nr. 2 durch Teilung und abgetreten aufgrund UR Nr. 2500/2018, Notar Dr. Emsig, Leipzig</w:t>
            </w:r>
          </w:p>
        </w:tc>
      </w:tr>
      <w:tr w:rsidR="000E49BB" w:rsidRPr="008A727C" w:rsidTr="000E49BB">
        <w:tblPrEx>
          <w:tblBorders>
            <w:insideH w:val="single" w:sz="4" w:space="0" w:color="auto"/>
            <w:insideV w:val="single" w:sz="4" w:space="0" w:color="auto"/>
          </w:tblBorders>
          <w:shd w:val="clear" w:color="auto" w:fill="auto"/>
        </w:tblPrEx>
        <w:trPr>
          <w:trHeight w:val="284"/>
        </w:trPr>
        <w:tc>
          <w:tcPr>
            <w:tcW w:w="706" w:type="pct"/>
            <w:tcBorders>
              <w:top w:val="single" w:sz="4" w:space="0" w:color="auto"/>
              <w:left w:val="single" w:sz="4" w:space="0" w:color="auto"/>
              <w:bottom w:val="single" w:sz="4" w:space="0" w:color="auto"/>
              <w:right w:val="single" w:sz="4" w:space="0" w:color="auto"/>
            </w:tcBorders>
            <w:shd w:val="clear" w:color="auto" w:fill="B0D4D4"/>
            <w:hideMark/>
          </w:tcPr>
          <w:p w:rsidR="000E49BB" w:rsidRDefault="000E49BB" w:rsidP="00364716">
            <w:pPr>
              <w:pStyle w:val="10Standard"/>
              <w:rPr>
                <w:i/>
              </w:rPr>
            </w:pPr>
            <w:r w:rsidRPr="00944446">
              <w:rPr>
                <w:i/>
              </w:rPr>
              <w:t>Marie Muster,</w:t>
            </w:r>
          </w:p>
          <w:p w:rsidR="000E49BB" w:rsidRPr="008A727C" w:rsidRDefault="000E49BB" w:rsidP="000E49BB">
            <w:pPr>
              <w:pStyle w:val="10Standard"/>
              <w:rPr>
                <w:i/>
              </w:rPr>
            </w:pPr>
            <w:r w:rsidRPr="00944446">
              <w:rPr>
                <w:i/>
              </w:rPr>
              <w:t>geb. am</w:t>
            </w:r>
            <w:r>
              <w:rPr>
                <w:i/>
              </w:rPr>
              <w:t xml:space="preserve"> …</w:t>
            </w:r>
            <w:r w:rsidRPr="00944446">
              <w:rPr>
                <w:i/>
              </w:rPr>
              <w:t>,</w:t>
            </w:r>
            <w:r>
              <w:rPr>
                <w:i/>
              </w:rPr>
              <w:t xml:space="preserve"> </w:t>
            </w:r>
            <w:r w:rsidRPr="00944446">
              <w:rPr>
                <w:i/>
              </w:rPr>
              <w:t>Leipzig</w:t>
            </w:r>
          </w:p>
        </w:tc>
        <w:tc>
          <w:tcPr>
            <w:tcW w:w="812"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874B24" w:rsidRDefault="000E49BB" w:rsidP="00364716">
            <w:pPr>
              <w:pStyle w:val="10Standard"/>
              <w:rPr>
                <w:b/>
                <w:i/>
              </w:rPr>
            </w:pPr>
            <w:r w:rsidRPr="00874B24">
              <w:rPr>
                <w:b/>
                <w:i/>
              </w:rPr>
              <w:t>6</w:t>
            </w:r>
          </w:p>
        </w:tc>
        <w:tc>
          <w:tcPr>
            <w:tcW w:w="812"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874B24" w:rsidRDefault="000E49BB" w:rsidP="00364716">
            <w:pPr>
              <w:pStyle w:val="10Standard"/>
              <w:rPr>
                <w:b/>
                <w:i/>
              </w:rPr>
            </w:pPr>
            <w:r w:rsidRPr="00874B24">
              <w:rPr>
                <w:b/>
                <w:i/>
              </w:rPr>
              <w:t>5.000 €</w:t>
            </w:r>
          </w:p>
        </w:tc>
        <w:tc>
          <w:tcPr>
            <w:tcW w:w="812"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0E49BB" w:rsidRDefault="000E49BB" w:rsidP="00364716">
            <w:pPr>
              <w:pStyle w:val="10Standard"/>
              <w:rPr>
                <w:b/>
                <w:i/>
              </w:rPr>
            </w:pPr>
            <w:r w:rsidRPr="000E49BB">
              <w:rPr>
                <w:b/>
                <w:i/>
              </w:rPr>
              <w:t>20 %</w:t>
            </w:r>
          </w:p>
        </w:tc>
        <w:tc>
          <w:tcPr>
            <w:tcW w:w="901" w:type="pct"/>
            <w:tcBorders>
              <w:top w:val="single" w:sz="4" w:space="0" w:color="auto"/>
              <w:left w:val="single" w:sz="4" w:space="0" w:color="auto"/>
              <w:bottom w:val="single" w:sz="4" w:space="0" w:color="auto"/>
              <w:right w:val="single" w:sz="4" w:space="0" w:color="auto"/>
            </w:tcBorders>
            <w:shd w:val="clear" w:color="auto" w:fill="E3F0F0"/>
            <w:hideMark/>
          </w:tcPr>
          <w:p w:rsidR="000E49BB" w:rsidRPr="000E49BB" w:rsidRDefault="000E49BB" w:rsidP="00364716">
            <w:pPr>
              <w:pStyle w:val="10Standard"/>
              <w:rPr>
                <w:b/>
                <w:i/>
              </w:rPr>
            </w:pPr>
            <w:r w:rsidRPr="000E49BB">
              <w:rPr>
                <w:b/>
                <w:i/>
              </w:rPr>
              <w:t>20 %</w:t>
            </w:r>
          </w:p>
        </w:tc>
        <w:tc>
          <w:tcPr>
            <w:tcW w:w="957" w:type="pct"/>
            <w:tcBorders>
              <w:top w:val="single" w:sz="4" w:space="0" w:color="auto"/>
              <w:left w:val="single" w:sz="4" w:space="0" w:color="auto"/>
              <w:bottom w:val="single" w:sz="4" w:space="0" w:color="auto"/>
              <w:right w:val="single" w:sz="4" w:space="0" w:color="auto"/>
            </w:tcBorders>
            <w:shd w:val="clear" w:color="auto" w:fill="E3F0F0"/>
          </w:tcPr>
          <w:p w:rsidR="000E49BB" w:rsidRPr="008A727C" w:rsidRDefault="000E49BB" w:rsidP="00364716">
            <w:pPr>
              <w:pStyle w:val="10Standard"/>
              <w:rPr>
                <w:i/>
              </w:rPr>
            </w:pPr>
            <w:r w:rsidRPr="00944446">
              <w:rPr>
                <w:i/>
              </w:rPr>
              <w:t>Entstanden aus dem früheren Geschäftsanteil Nr. 2 durch Teilung und abgetreten aufgrund UR Nr. 2500/2018, Notar Dr. Emsig, Leipzig</w:t>
            </w:r>
          </w:p>
        </w:tc>
      </w:tr>
      <w:tr w:rsidR="000E49BB" w:rsidRPr="0039152E" w:rsidTr="000E49BB">
        <w:tblPrEx>
          <w:tblBorders>
            <w:insideH w:val="single" w:sz="4" w:space="0" w:color="auto"/>
            <w:insideV w:val="single" w:sz="4" w:space="0" w:color="auto"/>
          </w:tblBorders>
          <w:shd w:val="clear" w:color="auto" w:fill="auto"/>
        </w:tblPrEx>
        <w:trPr>
          <w:trHeight w:val="284"/>
        </w:trPr>
        <w:tc>
          <w:tcPr>
            <w:tcW w:w="5000" w:type="pct"/>
            <w:gridSpan w:val="6"/>
            <w:tcBorders>
              <w:top w:val="single" w:sz="4" w:space="0" w:color="auto"/>
              <w:left w:val="single" w:sz="4" w:space="0" w:color="auto"/>
              <w:bottom w:val="single" w:sz="4" w:space="0" w:color="auto"/>
              <w:right w:val="single" w:sz="4" w:space="0" w:color="auto"/>
            </w:tcBorders>
            <w:shd w:val="clear" w:color="auto" w:fill="E3F0F0"/>
          </w:tcPr>
          <w:p w:rsidR="000E49BB" w:rsidRDefault="000E49BB" w:rsidP="00364716">
            <w:pPr>
              <w:rPr>
                <w:i/>
              </w:rPr>
            </w:pPr>
            <w:r>
              <w:rPr>
                <w:i/>
              </w:rPr>
              <w:t>Stammkapital: 25.000 €</w:t>
            </w:r>
          </w:p>
          <w:p w:rsidR="000E49BB" w:rsidRPr="00874B24" w:rsidRDefault="000E49BB" w:rsidP="00364716">
            <w:pPr>
              <w:rPr>
                <w:i/>
              </w:rPr>
            </w:pPr>
            <w:r w:rsidRPr="00874B24">
              <w:rPr>
                <w:i/>
              </w:rPr>
              <w:t xml:space="preserve">Die geänderten Eintragungen in der vorstehenden Gesellschafterliste entsprechen den Veränderungen, an denen ich als Notar mitgewirkt habe (UR </w:t>
            </w:r>
            <w:r w:rsidRPr="000E49BB">
              <w:rPr>
                <w:i/>
              </w:rPr>
              <w:t>Nr. </w:t>
            </w:r>
            <w:r>
              <w:rPr>
                <w:i/>
              </w:rPr>
              <w:t>…</w:t>
            </w:r>
            <w:r w:rsidRPr="00874B24">
              <w:rPr>
                <w:i/>
              </w:rPr>
              <w:t>/</w:t>
            </w:r>
            <w:r>
              <w:rPr>
                <w:i/>
              </w:rPr>
              <w:t>20XX</w:t>
            </w:r>
            <w:r w:rsidRPr="00874B24">
              <w:rPr>
                <w:i/>
              </w:rPr>
              <w:t xml:space="preserve"> vom …). Im Übrigen stimmt die Gesellschafterliste mit dem Inhalt der zuletzt im Handelsregister aufgenommenen Gesellschafterliste überein.</w:t>
            </w:r>
          </w:p>
          <w:p w:rsidR="000E49BB" w:rsidRPr="0039152E" w:rsidRDefault="000E49BB" w:rsidP="00364716">
            <w:pPr>
              <w:rPr>
                <w:i/>
              </w:rPr>
            </w:pPr>
            <w:r>
              <w:rPr>
                <w:i/>
              </w:rPr>
              <w:t>Leipzig,</w:t>
            </w:r>
            <w:r w:rsidRPr="0039152E">
              <w:rPr>
                <w:i/>
              </w:rPr>
              <w:t xml:space="preserve"> den …(Datum)</w:t>
            </w:r>
          </w:p>
          <w:p w:rsidR="000E49BB" w:rsidRDefault="000E49BB" w:rsidP="00364716">
            <w:pPr>
              <w:rPr>
                <w:i/>
              </w:rPr>
            </w:pPr>
            <w:r>
              <w:rPr>
                <w:i/>
              </w:rPr>
              <w:t>Dr. Emsig</w:t>
            </w:r>
          </w:p>
          <w:p w:rsidR="000E49BB" w:rsidRPr="0039152E" w:rsidRDefault="000E49BB" w:rsidP="00364716">
            <w:pPr>
              <w:rPr>
                <w:i/>
              </w:rPr>
            </w:pPr>
            <w:r>
              <w:rPr>
                <w:i/>
              </w:rPr>
              <w:t>Notar</w:t>
            </w:r>
          </w:p>
        </w:tc>
      </w:tr>
    </w:tbl>
    <w:p w:rsidR="000E49BB" w:rsidRDefault="000E49BB" w:rsidP="0082090E">
      <w:pPr>
        <w:rPr>
          <w:rFonts w:ascii="Roboto" w:hAnsi="Roboto"/>
          <w:b/>
          <w:szCs w:val="22"/>
        </w:rPr>
      </w:pPr>
    </w:p>
    <w:sectPr w:rsidR="000E49BB" w:rsidSect="000E49B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7F" w:rsidRDefault="00D4507F">
      <w:r>
        <w:separator/>
      </w:r>
    </w:p>
  </w:endnote>
  <w:endnote w:type="continuationSeparator" w:id="0">
    <w:p w:rsidR="00D4507F" w:rsidRDefault="00D4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7F" w:rsidRDefault="00D4507F">
      <w:r>
        <w:separator/>
      </w:r>
    </w:p>
  </w:footnote>
  <w:footnote w:type="continuationSeparator" w:id="0">
    <w:p w:rsidR="00D4507F" w:rsidRDefault="00D45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3C2"/>
    <w:multiLevelType w:val="hybridMultilevel"/>
    <w:tmpl w:val="E3FA8C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E140173"/>
    <w:multiLevelType w:val="hybridMultilevel"/>
    <w:tmpl w:val="EFFE6C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1"/>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3"/>
  </w:num>
  <w:num w:numId="10">
    <w:abstractNumId w:val="5"/>
  </w:num>
  <w:num w:numId="11">
    <w:abstractNumId w:val="6"/>
  </w:num>
  <w:num w:numId="12">
    <w:abstractNumId w:val="15"/>
  </w:num>
  <w:num w:numId="13">
    <w:abstractNumId w:val="3"/>
  </w:num>
  <w:num w:numId="14">
    <w:abstractNumId w:val="12"/>
  </w:num>
  <w:num w:numId="15">
    <w:abstractNumId w:val="2"/>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4FB1"/>
    <w:rsid w:val="00037244"/>
    <w:rsid w:val="00043448"/>
    <w:rsid w:val="00055AC3"/>
    <w:rsid w:val="000A4B47"/>
    <w:rsid w:val="000A729B"/>
    <w:rsid w:val="000E49BB"/>
    <w:rsid w:val="000E5ACA"/>
    <w:rsid w:val="00126FD6"/>
    <w:rsid w:val="00156EBF"/>
    <w:rsid w:val="001E7401"/>
    <w:rsid w:val="001F200D"/>
    <w:rsid w:val="001F3031"/>
    <w:rsid w:val="00225DCD"/>
    <w:rsid w:val="00273161"/>
    <w:rsid w:val="002A121A"/>
    <w:rsid w:val="002D6D01"/>
    <w:rsid w:val="0038506C"/>
    <w:rsid w:val="003F39B4"/>
    <w:rsid w:val="00404FC9"/>
    <w:rsid w:val="00437433"/>
    <w:rsid w:val="00462A0D"/>
    <w:rsid w:val="00476086"/>
    <w:rsid w:val="004833C0"/>
    <w:rsid w:val="00492155"/>
    <w:rsid w:val="00494E87"/>
    <w:rsid w:val="004E370E"/>
    <w:rsid w:val="004F167E"/>
    <w:rsid w:val="005140FA"/>
    <w:rsid w:val="005146FD"/>
    <w:rsid w:val="005300BF"/>
    <w:rsid w:val="00541ED4"/>
    <w:rsid w:val="0055272E"/>
    <w:rsid w:val="005C150D"/>
    <w:rsid w:val="005C3571"/>
    <w:rsid w:val="00600150"/>
    <w:rsid w:val="0061033F"/>
    <w:rsid w:val="006938C7"/>
    <w:rsid w:val="006B4724"/>
    <w:rsid w:val="006C704B"/>
    <w:rsid w:val="007429B0"/>
    <w:rsid w:val="00780D35"/>
    <w:rsid w:val="00790FC4"/>
    <w:rsid w:val="007A02EC"/>
    <w:rsid w:val="007A6439"/>
    <w:rsid w:val="007C589E"/>
    <w:rsid w:val="0082090E"/>
    <w:rsid w:val="00821317"/>
    <w:rsid w:val="0083305E"/>
    <w:rsid w:val="00834E9C"/>
    <w:rsid w:val="00842869"/>
    <w:rsid w:val="00842AB0"/>
    <w:rsid w:val="0085793A"/>
    <w:rsid w:val="00864731"/>
    <w:rsid w:val="008C097F"/>
    <w:rsid w:val="00974D65"/>
    <w:rsid w:val="00984576"/>
    <w:rsid w:val="0098684B"/>
    <w:rsid w:val="009F3511"/>
    <w:rsid w:val="00A50DE4"/>
    <w:rsid w:val="00A55BB4"/>
    <w:rsid w:val="00AB22B1"/>
    <w:rsid w:val="00AE0808"/>
    <w:rsid w:val="00AF225D"/>
    <w:rsid w:val="00AF4D97"/>
    <w:rsid w:val="00B0665D"/>
    <w:rsid w:val="00B70102"/>
    <w:rsid w:val="00B76094"/>
    <w:rsid w:val="00C84CCC"/>
    <w:rsid w:val="00CF4FB5"/>
    <w:rsid w:val="00D35965"/>
    <w:rsid w:val="00D3744E"/>
    <w:rsid w:val="00D4507F"/>
    <w:rsid w:val="00D54FD3"/>
    <w:rsid w:val="00D664ED"/>
    <w:rsid w:val="00DC3CF2"/>
    <w:rsid w:val="00DD65D8"/>
    <w:rsid w:val="00DF4E34"/>
    <w:rsid w:val="00E703F9"/>
    <w:rsid w:val="00E943FC"/>
    <w:rsid w:val="00EA52D1"/>
    <w:rsid w:val="00EA5F27"/>
    <w:rsid w:val="00EF30A6"/>
    <w:rsid w:val="00F02332"/>
    <w:rsid w:val="00F023EF"/>
    <w:rsid w:val="00F03C5F"/>
    <w:rsid w:val="00F17CDE"/>
    <w:rsid w:val="00F418A2"/>
    <w:rsid w:val="00F41C91"/>
    <w:rsid w:val="00F509E7"/>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82090E"/>
    <w:pPr>
      <w:tabs>
        <w:tab w:val="left" w:pos="567"/>
      </w:tabs>
      <w:spacing w:before="80" w:after="60"/>
      <w:jc w:val="both"/>
    </w:pPr>
    <w:rPr>
      <w:rFonts w:ascii="Roboto" w:hAnsi="Roboto"/>
      <w:spacing w:val="-2"/>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2090E"/>
    <w:rPr>
      <w:rFonts w:ascii="Roboto" w:hAnsi="Roboto"/>
      <w:spacing w:val="-2"/>
      <w:sz w:val="22"/>
      <w:szCs w:val="24"/>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82090E"/>
    <w:pPr>
      <w:tabs>
        <w:tab w:val="left" w:pos="567"/>
      </w:tabs>
      <w:spacing w:before="80" w:after="60"/>
      <w:jc w:val="both"/>
    </w:pPr>
    <w:rPr>
      <w:rFonts w:ascii="Roboto" w:hAnsi="Roboto"/>
      <w:spacing w:val="-2"/>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2090E"/>
    <w:rPr>
      <w:rFonts w:ascii="Roboto" w:hAnsi="Roboto"/>
      <w:spacing w:val="-2"/>
      <w:sz w:val="22"/>
      <w:szCs w:val="24"/>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7F8D8-40EA-4D95-970A-B3555346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5493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5</cp:revision>
  <cp:lastPrinted>2010-10-12T08:43:00Z</cp:lastPrinted>
  <dcterms:created xsi:type="dcterms:W3CDTF">2018-08-20T08:13:00Z</dcterms:created>
  <dcterms:modified xsi:type="dcterms:W3CDTF">2018-08-21T10:48:00Z</dcterms:modified>
</cp:coreProperties>
</file>