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Pr="00A26B5C" w:rsidRDefault="006B4724">
      <w:pPr>
        <w:pStyle w:val="Titel"/>
        <w:rPr>
          <w:rFonts w:ascii="Roboto" w:hAnsi="Roboto"/>
        </w:rPr>
      </w:pPr>
      <w:r w:rsidRPr="00A26B5C">
        <w:rPr>
          <w:rFonts w:ascii="Roboto" w:hAnsi="Roboto"/>
        </w:rPr>
        <w:t>Formulierungsvorschl</w:t>
      </w:r>
      <w:r w:rsidR="00273161" w:rsidRPr="00A26B5C">
        <w:rPr>
          <w:rFonts w:ascii="Roboto" w:hAnsi="Roboto"/>
        </w:rPr>
        <w:t>ä</w:t>
      </w:r>
      <w:r w:rsidRPr="00A26B5C">
        <w:rPr>
          <w:rFonts w:ascii="Roboto" w:hAnsi="Roboto"/>
        </w:rPr>
        <w:t>g</w:t>
      </w:r>
      <w:r w:rsidR="00273161" w:rsidRPr="00A26B5C">
        <w:rPr>
          <w:rFonts w:ascii="Roboto" w:hAnsi="Roboto"/>
        </w:rPr>
        <w:t>e</w:t>
      </w:r>
      <w:r w:rsidRPr="00A26B5C">
        <w:rPr>
          <w:rFonts w:ascii="Roboto" w:hAnsi="Roboto"/>
        </w:rPr>
        <w:t xml:space="preserve"> Heft </w:t>
      </w:r>
      <w:r w:rsidR="00D44E95" w:rsidRPr="00A26B5C">
        <w:rPr>
          <w:rFonts w:ascii="Roboto" w:hAnsi="Roboto"/>
        </w:rPr>
        <w:t>6</w:t>
      </w:r>
      <w:r w:rsidRPr="00A26B5C">
        <w:rPr>
          <w:rFonts w:ascii="Roboto" w:hAnsi="Roboto"/>
        </w:rPr>
        <w:t>/201</w:t>
      </w:r>
      <w:r w:rsidR="001B10F9">
        <w:rPr>
          <w:rFonts w:ascii="Roboto" w:hAnsi="Roboto"/>
        </w:rPr>
        <w:t>8</w:t>
      </w:r>
      <w:bookmarkStart w:id="0" w:name="_GoBack"/>
      <w:bookmarkEnd w:id="0"/>
    </w:p>
    <w:p w:rsidR="00EC4672" w:rsidRPr="00A26B5C" w:rsidRDefault="00EC4672">
      <w:pPr>
        <w:pStyle w:val="berschrift1"/>
        <w:rPr>
          <w:rFonts w:ascii="Roboto" w:hAnsi="Roboto"/>
        </w:rPr>
      </w:pPr>
    </w:p>
    <w:p w:rsidR="00DE7245" w:rsidRPr="00A26B5C" w:rsidRDefault="008717D4" w:rsidP="00DE7245">
      <w:pPr>
        <w:rPr>
          <w:rFonts w:ascii="Roboto" w:hAnsi="Roboto"/>
          <w:b/>
        </w:rPr>
      </w:pPr>
      <w:r w:rsidRPr="00A26B5C">
        <w:rPr>
          <w:rFonts w:ascii="Roboto" w:hAnsi="Roboto"/>
          <w:b/>
        </w:rPr>
        <w:t>beitrag des monats</w:t>
      </w:r>
      <w:r w:rsidR="00DE7245" w:rsidRPr="00A26B5C">
        <w:rPr>
          <w:rFonts w:ascii="Roboto" w:hAnsi="Roboto"/>
          <w:b/>
        </w:rPr>
        <w:t>:</w:t>
      </w:r>
      <w:r w:rsidRPr="00A26B5C">
        <w:rPr>
          <w:rFonts w:ascii="Roboto" w:hAnsi="Roboto"/>
          <w:b/>
        </w:rPr>
        <w:t xml:space="preserve">, </w:t>
      </w:r>
      <w:r w:rsidR="00A26B5C" w:rsidRPr="00A26B5C">
        <w:rPr>
          <w:rFonts w:ascii="Roboto" w:hAnsi="Roboto"/>
          <w:b/>
          <w:i/>
        </w:rPr>
        <w:t>Stefan Daniel Josef Schmitz</w:t>
      </w:r>
    </w:p>
    <w:p w:rsidR="00DE7245" w:rsidRPr="00A26B5C" w:rsidRDefault="00DE7245" w:rsidP="00E36AB4">
      <w:pPr>
        <w:rPr>
          <w:rFonts w:ascii="Roboto" w:hAnsi="Roboto"/>
          <w:b/>
        </w:rPr>
      </w:pPr>
    </w:p>
    <w:p w:rsidR="00DE7245" w:rsidRPr="00A26B5C" w:rsidRDefault="00DE7245" w:rsidP="00E36AB4">
      <w:pPr>
        <w:rPr>
          <w:rFonts w:ascii="Roboto" w:hAnsi="Roboto"/>
          <w:b/>
        </w:rPr>
      </w:pPr>
      <w:r w:rsidRPr="00A26B5C">
        <w:rPr>
          <w:rFonts w:ascii="Roboto" w:hAnsi="Roboto"/>
          <w:b/>
        </w:rPr>
        <w:t xml:space="preserve">S. </w:t>
      </w:r>
      <w:r w:rsidR="00A26B5C" w:rsidRPr="00A26B5C">
        <w:rPr>
          <w:rFonts w:ascii="Roboto" w:hAnsi="Roboto"/>
          <w:b/>
        </w:rPr>
        <w:t>204</w:t>
      </w:r>
    </w:p>
    <w:p w:rsidR="00A26B5C" w:rsidRPr="00A26B5C" w:rsidRDefault="00A26B5C" w:rsidP="00A26B5C">
      <w:pPr>
        <w:autoSpaceDE w:val="0"/>
        <w:autoSpaceDN w:val="0"/>
        <w:adjustRightInd w:val="0"/>
        <w:rPr>
          <w:rFonts w:ascii="Roboto" w:hAnsi="Roboto" w:cs="AdvPS_SSSB"/>
          <w:b/>
          <w:szCs w:val="18"/>
        </w:rPr>
      </w:pPr>
      <w:r w:rsidRPr="00A26B5C">
        <w:rPr>
          <w:rFonts w:ascii="Roboto" w:hAnsi="Roboto" w:cs="AdvPS_SSSB"/>
          <w:b/>
          <w:szCs w:val="18"/>
        </w:rPr>
        <w:t>Offenlegung der Eigenschaft als Kommanditist:</w:t>
      </w:r>
    </w:p>
    <w:p w:rsidR="00A26B5C" w:rsidRDefault="00A26B5C" w:rsidP="00A26B5C">
      <w:pPr>
        <w:autoSpaceDE w:val="0"/>
        <w:autoSpaceDN w:val="0"/>
        <w:adjustRightInd w:val="0"/>
        <w:rPr>
          <w:rFonts w:ascii="Roboto" w:hAnsi="Roboto" w:cs="AdvPS_SR"/>
          <w:szCs w:val="18"/>
        </w:rPr>
      </w:pPr>
      <w:r w:rsidRPr="00A26B5C">
        <w:rPr>
          <w:rFonts w:ascii="Roboto" w:hAnsi="Roboto" w:cs="AdvOTfe7f2ed9.I"/>
          <w:szCs w:val="18"/>
        </w:rPr>
        <w:t>Gesellschafter der XY GmbH &amp; Co. KG sind ausschließlich die</w:t>
      </w:r>
      <w:r>
        <w:rPr>
          <w:rFonts w:ascii="Roboto" w:hAnsi="Roboto" w:cs="AdvOTfe7f2ed9.I"/>
          <w:szCs w:val="18"/>
        </w:rPr>
        <w:t xml:space="preserve"> </w:t>
      </w:r>
      <w:r w:rsidRPr="00A26B5C">
        <w:rPr>
          <w:rFonts w:ascii="Roboto" w:hAnsi="Roboto" w:cs="AdvOTfe7f2ed9.I"/>
          <w:szCs w:val="18"/>
        </w:rPr>
        <w:t>X-GmbH als Komplement</w:t>
      </w:r>
      <w:r>
        <w:rPr>
          <w:rFonts w:ascii="Roboto" w:hAnsi="Roboto" w:cs="AdvOTfe7f2ed9.I"/>
          <w:szCs w:val="18"/>
        </w:rPr>
        <w:t>ä</w:t>
      </w:r>
      <w:r w:rsidRPr="00A26B5C">
        <w:rPr>
          <w:rFonts w:ascii="Roboto" w:hAnsi="Roboto" w:cs="AdvOTfe7f2ed9.I"/>
          <w:szCs w:val="18"/>
        </w:rPr>
        <w:t>r und Y als Kommanditist; Haftsumme</w:t>
      </w:r>
      <w:r>
        <w:rPr>
          <w:rFonts w:ascii="Roboto" w:hAnsi="Roboto" w:cs="AdvOTfe7f2ed9.I"/>
          <w:szCs w:val="18"/>
        </w:rPr>
        <w:t xml:space="preserve"> </w:t>
      </w:r>
      <w:r w:rsidRPr="00A26B5C">
        <w:rPr>
          <w:rFonts w:ascii="Roboto" w:hAnsi="Roboto" w:cs="AdvOTfe7f2ed9.I"/>
          <w:szCs w:val="18"/>
        </w:rPr>
        <w:t>in H</w:t>
      </w:r>
      <w:r>
        <w:rPr>
          <w:rFonts w:ascii="Roboto" w:hAnsi="Roboto" w:cs="AdvOTfe7f2ed9.I"/>
          <w:szCs w:val="18"/>
        </w:rPr>
        <w:t>ö</w:t>
      </w:r>
      <w:r w:rsidRPr="00A26B5C">
        <w:rPr>
          <w:rFonts w:ascii="Roboto" w:hAnsi="Roboto" w:cs="AdvOTfe7f2ed9.I"/>
          <w:szCs w:val="18"/>
        </w:rPr>
        <w:t>he von</w:t>
      </w:r>
      <w:r w:rsidRPr="00A26B5C">
        <w:rPr>
          <w:rFonts w:ascii="Roboto" w:hAnsi="Roboto" w:cs="AdvPS_SR"/>
          <w:szCs w:val="18"/>
        </w:rPr>
        <w:t>…</w:t>
      </w:r>
    </w:p>
    <w:p w:rsidR="00A26B5C" w:rsidRDefault="00A26B5C" w:rsidP="00A26B5C">
      <w:pPr>
        <w:autoSpaceDE w:val="0"/>
        <w:autoSpaceDN w:val="0"/>
        <w:adjustRightInd w:val="0"/>
        <w:rPr>
          <w:rFonts w:ascii="Roboto" w:hAnsi="Roboto" w:cs="AdvPS_SR"/>
          <w:szCs w:val="18"/>
        </w:rPr>
      </w:pPr>
    </w:p>
    <w:p w:rsidR="00A26B5C" w:rsidRDefault="00A26B5C" w:rsidP="00A26B5C">
      <w:pPr>
        <w:autoSpaceDE w:val="0"/>
        <w:autoSpaceDN w:val="0"/>
        <w:adjustRightInd w:val="0"/>
        <w:rPr>
          <w:rFonts w:ascii="Roboto" w:hAnsi="Roboto" w:cs="AdvPS_SR"/>
          <w:szCs w:val="18"/>
        </w:rPr>
      </w:pPr>
    </w:p>
    <w:p w:rsidR="00A26B5C" w:rsidRPr="00A26B5C" w:rsidRDefault="00A26B5C" w:rsidP="00A26B5C">
      <w:pPr>
        <w:autoSpaceDE w:val="0"/>
        <w:autoSpaceDN w:val="0"/>
        <w:adjustRightInd w:val="0"/>
        <w:rPr>
          <w:rFonts w:ascii="Roboto" w:hAnsi="Roboto" w:cs="AdvPS_SR"/>
          <w:b/>
          <w:szCs w:val="18"/>
        </w:rPr>
      </w:pPr>
      <w:r w:rsidRPr="00A26B5C">
        <w:rPr>
          <w:rFonts w:ascii="Roboto" w:hAnsi="Roboto" w:cs="AdvPS_SR"/>
          <w:b/>
          <w:szCs w:val="18"/>
        </w:rPr>
        <w:t>jahresrückblick Grundbuch- und Grundbuchverfahrensrecht, Ulrich Spieker</w:t>
      </w:r>
    </w:p>
    <w:p w:rsidR="00A26B5C" w:rsidRDefault="00A26B5C" w:rsidP="00A26B5C">
      <w:pPr>
        <w:autoSpaceDE w:val="0"/>
        <w:autoSpaceDN w:val="0"/>
        <w:adjustRightInd w:val="0"/>
        <w:rPr>
          <w:rFonts w:ascii="Roboto" w:hAnsi="Roboto" w:cs="AdvPS_SR"/>
          <w:szCs w:val="18"/>
        </w:rPr>
      </w:pPr>
    </w:p>
    <w:p w:rsidR="00A26B5C" w:rsidRDefault="00A26B5C" w:rsidP="00A26B5C">
      <w:pPr>
        <w:autoSpaceDE w:val="0"/>
        <w:autoSpaceDN w:val="0"/>
        <w:adjustRightInd w:val="0"/>
        <w:rPr>
          <w:rFonts w:ascii="Roboto" w:hAnsi="Roboto" w:cs="AdvPS_SR"/>
          <w:szCs w:val="18"/>
        </w:rPr>
      </w:pPr>
    </w:p>
    <w:p w:rsidR="00A26B5C" w:rsidRPr="00A26B5C" w:rsidRDefault="00A26B5C" w:rsidP="00A26B5C">
      <w:pPr>
        <w:autoSpaceDE w:val="0"/>
        <w:autoSpaceDN w:val="0"/>
        <w:adjustRightInd w:val="0"/>
        <w:rPr>
          <w:rFonts w:ascii="Roboto" w:hAnsi="Roboto" w:cs="AdvPS_SR"/>
          <w:b/>
          <w:szCs w:val="18"/>
        </w:rPr>
      </w:pPr>
      <w:r w:rsidRPr="00A26B5C">
        <w:rPr>
          <w:rFonts w:ascii="Roboto" w:hAnsi="Roboto" w:cs="AdvPS_SR"/>
          <w:b/>
          <w:szCs w:val="18"/>
        </w:rPr>
        <w:t>S. 212</w:t>
      </w:r>
    </w:p>
    <w:p w:rsidR="00A26B5C" w:rsidRPr="00A26B5C" w:rsidRDefault="00A26B5C" w:rsidP="00A26B5C">
      <w:pPr>
        <w:autoSpaceDE w:val="0"/>
        <w:autoSpaceDN w:val="0"/>
        <w:adjustRightInd w:val="0"/>
        <w:rPr>
          <w:rFonts w:ascii="AdvPS_SSSB" w:hAnsi="AdvPS_SSSB" w:cs="AdvPS_SSSB"/>
          <w:b/>
          <w:sz w:val="18"/>
          <w:szCs w:val="18"/>
        </w:rPr>
      </w:pPr>
      <w:r w:rsidRPr="00A26B5C">
        <w:rPr>
          <w:rFonts w:ascii="AdvPS_SSSB" w:hAnsi="AdvPS_SSSB" w:cs="AdvPS_SSSB"/>
          <w:b/>
          <w:sz w:val="18"/>
          <w:szCs w:val="18"/>
        </w:rPr>
        <w:t>Erweiterte Freigabeerkl</w:t>
      </w:r>
      <w:r>
        <w:rPr>
          <w:rFonts w:ascii="AdvPS_SSSB" w:hAnsi="AdvPS_SSSB" w:cs="AdvPS_SSSB"/>
          <w:b/>
          <w:sz w:val="18"/>
          <w:szCs w:val="18"/>
        </w:rPr>
        <w:t>ä</w:t>
      </w:r>
      <w:r w:rsidRPr="00A26B5C">
        <w:rPr>
          <w:rFonts w:ascii="AdvPS_SSSB" w:hAnsi="AdvPS_SSSB" w:cs="AdvPS_SSSB"/>
          <w:b/>
          <w:sz w:val="18"/>
          <w:szCs w:val="18"/>
        </w:rPr>
        <w:t>rung und Zugangsbest</w:t>
      </w:r>
      <w:r>
        <w:rPr>
          <w:rFonts w:ascii="AdvPS_SSSB" w:hAnsi="AdvPS_SSSB" w:cs="AdvPS_SSSB"/>
          <w:b/>
          <w:sz w:val="18"/>
          <w:szCs w:val="18"/>
        </w:rPr>
        <w:t>ä</w:t>
      </w:r>
      <w:r w:rsidRPr="00A26B5C">
        <w:rPr>
          <w:rFonts w:ascii="AdvPS_SSSB" w:hAnsi="AdvPS_SSSB" w:cs="AdvPS_SSSB"/>
          <w:b/>
          <w:sz w:val="18"/>
          <w:szCs w:val="18"/>
        </w:rPr>
        <w:t>tigung:</w:t>
      </w:r>
    </w:p>
    <w:p w:rsidR="00A26B5C" w:rsidRDefault="00A26B5C" w:rsidP="00A26B5C">
      <w:pPr>
        <w:autoSpaceDE w:val="0"/>
        <w:autoSpaceDN w:val="0"/>
        <w:adjustRightInd w:val="0"/>
        <w:rPr>
          <w:rFonts w:ascii="AdvOTfe7f2ed9.I" w:hAnsi="AdvOTfe7f2ed9.I" w:cs="AdvOTfe7f2ed9.I"/>
          <w:sz w:val="18"/>
          <w:szCs w:val="18"/>
        </w:rPr>
      </w:pPr>
      <w:r>
        <w:rPr>
          <w:rFonts w:ascii="AdvOTfe7f2ed9.I" w:hAnsi="AdvOTfe7f2ed9.I" w:cs="AdvOTfe7f2ed9.I"/>
          <w:sz w:val="18"/>
          <w:szCs w:val="18"/>
        </w:rPr>
        <w:t>I. Freigabe</w:t>
      </w:r>
    </w:p>
    <w:p w:rsidR="00A26B5C" w:rsidRDefault="00A26B5C" w:rsidP="00A26B5C">
      <w:pPr>
        <w:autoSpaceDE w:val="0"/>
        <w:autoSpaceDN w:val="0"/>
        <w:adjustRightInd w:val="0"/>
        <w:rPr>
          <w:rFonts w:ascii="AdvPS_SR" w:hAnsi="AdvPS_SR" w:cs="AdvPS_SR"/>
          <w:sz w:val="18"/>
          <w:szCs w:val="18"/>
        </w:rPr>
      </w:pPr>
      <w:r>
        <w:rPr>
          <w:rFonts w:ascii="AdvOTfe7f2ed9.I" w:hAnsi="AdvOTfe7f2ed9.I" w:cs="AdvOTfe7f2ed9.I"/>
          <w:sz w:val="18"/>
          <w:szCs w:val="18"/>
        </w:rPr>
        <w:t xml:space="preserve">Ich, der Insolvenzverwalter </w:t>
      </w:r>
      <w:r>
        <w:rPr>
          <w:rFonts w:ascii="AdvPS_SR" w:hAnsi="AdvPS_SR" w:cs="AdvPS_SR"/>
          <w:sz w:val="18"/>
          <w:szCs w:val="18"/>
        </w:rPr>
        <w:t>…</w:t>
      </w:r>
      <w:r>
        <w:rPr>
          <w:rFonts w:ascii="AdvOTfe7f2ed9.I" w:hAnsi="AdvOTfe7f2ed9.I" w:cs="AdvOTfe7f2ed9.I"/>
          <w:sz w:val="18"/>
          <w:szCs w:val="18"/>
        </w:rPr>
        <w:t xml:space="preserve">, über das Vermögen der Firma </w:t>
      </w:r>
      <w:r>
        <w:rPr>
          <w:rFonts w:ascii="AdvPS_SR" w:hAnsi="AdvPS_SR" w:cs="AdvPS_SR"/>
          <w:sz w:val="18"/>
          <w:szCs w:val="18"/>
        </w:rPr>
        <w:t xml:space="preserve">… </w:t>
      </w:r>
      <w:r>
        <w:rPr>
          <w:rFonts w:ascii="AdvOTfe7f2ed9.I" w:hAnsi="AdvOTfe7f2ed9.I" w:cs="AdvOTfe7f2ed9.I"/>
          <w:sz w:val="18"/>
          <w:szCs w:val="18"/>
        </w:rPr>
        <w:t>gebe hiermit den Grundbesitz Amtsgericht</w:t>
      </w:r>
      <w:r>
        <w:rPr>
          <w:rFonts w:ascii="AdvPS_SR" w:hAnsi="AdvPS_SR" w:cs="AdvPS_SR"/>
          <w:sz w:val="18"/>
          <w:szCs w:val="18"/>
        </w:rPr>
        <w:t>…</w:t>
      </w:r>
      <w:r>
        <w:rPr>
          <w:rFonts w:ascii="AdvOTfe7f2ed9.I" w:hAnsi="AdvOTfe7f2ed9.I" w:cs="AdvOTfe7f2ed9.I"/>
          <w:sz w:val="18"/>
          <w:szCs w:val="18"/>
        </w:rPr>
        <w:t>Grundbuch von</w:t>
      </w:r>
      <w:r>
        <w:rPr>
          <w:rFonts w:ascii="AdvPS_SR" w:hAnsi="AdvPS_SR" w:cs="AdvPS_SR"/>
          <w:sz w:val="18"/>
          <w:szCs w:val="18"/>
        </w:rPr>
        <w:t>…</w:t>
      </w:r>
      <w:r>
        <w:rPr>
          <w:rFonts w:ascii="AdvOTfe7f2ed9.I" w:hAnsi="AdvOTfe7f2ed9.I" w:cs="AdvOTfe7f2ed9.I"/>
          <w:sz w:val="18"/>
          <w:szCs w:val="18"/>
        </w:rPr>
        <w:t>Blatt</w:t>
      </w:r>
      <w:r>
        <w:rPr>
          <w:rFonts w:ascii="AdvPS_SR" w:hAnsi="AdvPS_SR" w:cs="AdvPS_SR"/>
          <w:sz w:val="18"/>
          <w:szCs w:val="18"/>
        </w:rPr>
        <w:t>…</w:t>
      </w:r>
    </w:p>
    <w:p w:rsidR="00A26B5C" w:rsidRDefault="00A26B5C" w:rsidP="00A26B5C">
      <w:pPr>
        <w:autoSpaceDE w:val="0"/>
        <w:autoSpaceDN w:val="0"/>
        <w:adjustRightInd w:val="0"/>
        <w:rPr>
          <w:rFonts w:ascii="AdvOTfe7f2ed9.I" w:hAnsi="AdvOTfe7f2ed9.I" w:cs="AdvOTfe7f2ed9.I"/>
          <w:sz w:val="18"/>
          <w:szCs w:val="18"/>
        </w:rPr>
      </w:pPr>
      <w:r>
        <w:rPr>
          <w:rFonts w:ascii="AdvOTfe7f2ed9.I" w:hAnsi="AdvOTfe7f2ed9.I" w:cs="AdvOTfe7f2ed9.I"/>
          <w:sz w:val="18"/>
          <w:szCs w:val="18"/>
        </w:rPr>
        <w:t>aus der Masse</w:t>
      </w:r>
    </w:p>
    <w:p w:rsidR="00A26B5C" w:rsidRDefault="00A26B5C" w:rsidP="00A26B5C">
      <w:pPr>
        <w:autoSpaceDE w:val="0"/>
        <w:autoSpaceDN w:val="0"/>
        <w:adjustRightInd w:val="0"/>
        <w:rPr>
          <w:rFonts w:ascii="AdvOTfe7f2ed9.I" w:hAnsi="AdvOTfe7f2ed9.I" w:cs="AdvOTfe7f2ed9.I"/>
          <w:sz w:val="18"/>
          <w:szCs w:val="18"/>
        </w:rPr>
      </w:pPr>
      <w:r>
        <w:rPr>
          <w:rFonts w:ascii="AdvOTfe7f2ed9.I" w:hAnsi="AdvOTfe7f2ed9.I" w:cs="AdvOTfe7f2ed9.I"/>
          <w:sz w:val="18"/>
          <w:szCs w:val="18"/>
        </w:rPr>
        <w:t>(entsprechend § 32 Abs. 3, 80 InsO)</w:t>
      </w:r>
    </w:p>
    <w:p w:rsidR="00A26B5C" w:rsidRDefault="00A26B5C" w:rsidP="00A26B5C">
      <w:pPr>
        <w:autoSpaceDE w:val="0"/>
        <w:autoSpaceDN w:val="0"/>
        <w:adjustRightInd w:val="0"/>
        <w:rPr>
          <w:rFonts w:ascii="AdvOTfe7f2ed9.I" w:hAnsi="AdvOTfe7f2ed9.I" w:cs="AdvOTfe7f2ed9.I"/>
          <w:sz w:val="18"/>
          <w:szCs w:val="18"/>
        </w:rPr>
      </w:pPr>
      <w:r>
        <w:rPr>
          <w:rFonts w:ascii="AdvOTfe7f2ed9.I" w:hAnsi="AdvOTfe7f2ed9.I" w:cs="AdvOTfe7f2ed9.I"/>
          <w:sz w:val="18"/>
          <w:szCs w:val="18"/>
        </w:rPr>
        <w:t>frei.</w:t>
      </w:r>
    </w:p>
    <w:p w:rsidR="00A26B5C" w:rsidRDefault="00A26B5C" w:rsidP="00A26B5C">
      <w:pPr>
        <w:autoSpaceDE w:val="0"/>
        <w:autoSpaceDN w:val="0"/>
        <w:adjustRightInd w:val="0"/>
        <w:rPr>
          <w:rFonts w:ascii="AdvOTfe7f2ed9.I" w:hAnsi="AdvOTfe7f2ed9.I" w:cs="AdvOTfe7f2ed9.I"/>
          <w:sz w:val="18"/>
          <w:szCs w:val="18"/>
        </w:rPr>
      </w:pPr>
      <w:r>
        <w:rPr>
          <w:rFonts w:ascii="AdvOTfe7f2ed9.I" w:hAnsi="AdvOTfe7f2ed9.I" w:cs="AdvOTfe7f2ed9.I"/>
          <w:sz w:val="18"/>
          <w:szCs w:val="18"/>
        </w:rPr>
        <w:t>Freigegeben und an den dies annehmenden Insolvenzschuldner abgetreten werden auch alle Eigentümerrechte und Rückgewähransprüche, die der Insolvenzmasse in Ansehung der eingetragenen Grundpfandrechte aus irgendeinem Rechtsgrund zustehen, insbesondere die Ansprüche auf Abtretung, auf den Verzicht und auf Aufhebung solcher Rechte, auf Vorlage des Grundpfandrechtsbriefes zur Berichtigung und zur Bildung von Teilbriefen sowie weiter auf Herausgabe des Versteigerungserlöses.</w:t>
      </w:r>
    </w:p>
    <w:p w:rsidR="00A26B5C" w:rsidRDefault="00A26B5C" w:rsidP="00A26B5C">
      <w:pPr>
        <w:autoSpaceDE w:val="0"/>
        <w:autoSpaceDN w:val="0"/>
        <w:adjustRightInd w:val="0"/>
        <w:rPr>
          <w:rFonts w:ascii="AdvOTfe7f2ed9.I" w:hAnsi="AdvOTfe7f2ed9.I" w:cs="AdvOTfe7f2ed9.I"/>
          <w:sz w:val="18"/>
          <w:szCs w:val="18"/>
        </w:rPr>
      </w:pPr>
      <w:r>
        <w:rPr>
          <w:rFonts w:ascii="AdvOTfe7f2ed9.I" w:hAnsi="AdvOTfe7f2ed9.I" w:cs="AdvOTfe7f2ed9.I"/>
          <w:sz w:val="18"/>
          <w:szCs w:val="18"/>
        </w:rPr>
        <w:t xml:space="preserve">Die Freigabe bewirkt, dass der Insolvenzschuldner </w:t>
      </w:r>
      <w:r>
        <w:rPr>
          <w:rFonts w:ascii="AdvPS_SR" w:hAnsi="AdvPS_SR" w:cs="AdvPS_SR"/>
          <w:sz w:val="18"/>
          <w:szCs w:val="18"/>
        </w:rPr>
        <w:t xml:space="preserve">… </w:t>
      </w:r>
      <w:r>
        <w:rPr>
          <w:rFonts w:ascii="AdvOTfe7f2ed9.I" w:hAnsi="AdvOTfe7f2ed9.I" w:cs="AdvOTfe7f2ed9.I"/>
          <w:sz w:val="18"/>
          <w:szCs w:val="18"/>
        </w:rPr>
        <w:t>selbst die Verfügungsbefugnis mit Zugang der Freigabeerklärung erhält (BGH NJW-Spezial 2017, 535; NJW-RR 2007, 1205).</w:t>
      </w:r>
    </w:p>
    <w:p w:rsidR="00A26B5C" w:rsidRDefault="00A26B5C" w:rsidP="00A26B5C">
      <w:pPr>
        <w:autoSpaceDE w:val="0"/>
        <w:autoSpaceDN w:val="0"/>
        <w:adjustRightInd w:val="0"/>
        <w:rPr>
          <w:rFonts w:ascii="AdvOTfe7f2ed9.I" w:hAnsi="AdvOTfe7f2ed9.I" w:cs="AdvOTfe7f2ed9.I"/>
          <w:sz w:val="18"/>
          <w:szCs w:val="18"/>
        </w:rPr>
      </w:pPr>
      <w:r>
        <w:rPr>
          <w:rFonts w:ascii="AdvOTfe7f2ed9.I" w:hAnsi="AdvOTfe7f2ed9.I" w:cs="AdvOTfe7f2ed9.I"/>
          <w:sz w:val="18"/>
          <w:szCs w:val="18"/>
        </w:rPr>
        <w:t>Diese Erklärung gebe ich in meiner Eigenschaft als Insolvenzverwalter über das Vermögen der Firma</w:t>
      </w:r>
      <w:r>
        <w:rPr>
          <w:rFonts w:ascii="AdvPS_SR" w:hAnsi="AdvPS_SR" w:cs="AdvPS_SR"/>
          <w:sz w:val="18"/>
          <w:szCs w:val="18"/>
        </w:rPr>
        <w:t>…</w:t>
      </w:r>
      <w:r>
        <w:rPr>
          <w:rFonts w:ascii="AdvOTfe7f2ed9.I" w:hAnsi="AdvOTfe7f2ed9.I" w:cs="AdvOTfe7f2ed9.I"/>
          <w:sz w:val="18"/>
          <w:szCs w:val="18"/>
        </w:rPr>
        <w:t>ab.</w:t>
      </w:r>
    </w:p>
    <w:p w:rsidR="00A26B5C" w:rsidRDefault="00A26B5C" w:rsidP="00A26B5C">
      <w:pPr>
        <w:autoSpaceDE w:val="0"/>
        <w:autoSpaceDN w:val="0"/>
        <w:adjustRightInd w:val="0"/>
        <w:rPr>
          <w:rFonts w:ascii="AdvOTfe7f2ed9.I" w:hAnsi="AdvOTfe7f2ed9.I" w:cs="AdvOTfe7f2ed9.I"/>
          <w:sz w:val="18"/>
          <w:szCs w:val="18"/>
        </w:rPr>
      </w:pPr>
      <w:r>
        <w:rPr>
          <w:rFonts w:ascii="AdvOTfe7f2ed9.I" w:hAnsi="AdvOTfe7f2ed9.I" w:cs="AdvOTfe7f2ed9.I"/>
          <w:sz w:val="18"/>
          <w:szCs w:val="18"/>
        </w:rPr>
        <w:t xml:space="preserve">Vorsorglich ersuche ich das Amtsgericht </w:t>
      </w:r>
      <w:r>
        <w:rPr>
          <w:rFonts w:ascii="AdvPS_SR" w:hAnsi="AdvPS_SR" w:cs="AdvPS_SR"/>
          <w:sz w:val="18"/>
          <w:szCs w:val="18"/>
        </w:rPr>
        <w:t xml:space="preserve">… </w:t>
      </w:r>
      <w:r>
        <w:rPr>
          <w:rFonts w:ascii="AdvOTfe7f2ed9.I" w:hAnsi="AdvOTfe7f2ed9.I" w:cs="AdvOTfe7f2ed9.I"/>
          <w:sz w:val="18"/>
          <w:szCs w:val="18"/>
        </w:rPr>
        <w:t>– Insolvenzgericht, den Insolvenzvermerk löschen zu lassen.</w:t>
      </w:r>
    </w:p>
    <w:p w:rsidR="00A26B5C" w:rsidRDefault="00A26B5C" w:rsidP="00A26B5C">
      <w:pPr>
        <w:autoSpaceDE w:val="0"/>
        <w:autoSpaceDN w:val="0"/>
        <w:adjustRightInd w:val="0"/>
        <w:rPr>
          <w:rFonts w:ascii="AdvOTfe7f2ed9.I" w:hAnsi="AdvOTfe7f2ed9.I" w:cs="AdvOTfe7f2ed9.I"/>
          <w:sz w:val="18"/>
          <w:szCs w:val="18"/>
        </w:rPr>
      </w:pPr>
      <w:r>
        <w:rPr>
          <w:rFonts w:ascii="AdvOTfe7f2ed9.I" w:hAnsi="AdvOTfe7f2ed9.I" w:cs="AdvOTfe7f2ed9.I"/>
          <w:sz w:val="18"/>
          <w:szCs w:val="18"/>
        </w:rPr>
        <w:t>Höchstvorsorglich bewillige ich die Löschung des Insolvenzvermerks.</w:t>
      </w:r>
    </w:p>
    <w:p w:rsidR="00A26B5C" w:rsidRDefault="00A26B5C" w:rsidP="00A26B5C">
      <w:pPr>
        <w:autoSpaceDE w:val="0"/>
        <w:autoSpaceDN w:val="0"/>
        <w:adjustRightInd w:val="0"/>
        <w:rPr>
          <w:rFonts w:ascii="AdvOTfe7f2ed9.I" w:hAnsi="AdvOTfe7f2ed9.I" w:cs="AdvOTfe7f2ed9.I"/>
          <w:sz w:val="18"/>
          <w:szCs w:val="18"/>
        </w:rPr>
      </w:pPr>
      <w:r>
        <w:rPr>
          <w:rFonts w:ascii="AdvOTfe7f2ed9.I" w:hAnsi="AdvOTfe7f2ed9.I" w:cs="AdvOTfe7f2ed9.I"/>
          <w:sz w:val="18"/>
          <w:szCs w:val="18"/>
        </w:rPr>
        <w:t>Kosten trage ich nicht.</w:t>
      </w:r>
    </w:p>
    <w:p w:rsidR="00A26B5C" w:rsidRDefault="00A26B5C" w:rsidP="00A26B5C">
      <w:pPr>
        <w:autoSpaceDE w:val="0"/>
        <w:autoSpaceDN w:val="0"/>
        <w:adjustRightInd w:val="0"/>
        <w:rPr>
          <w:rFonts w:ascii="AdvOTfe7f2ed9.I" w:hAnsi="AdvOTfe7f2ed9.I" w:cs="AdvOTfe7f2ed9.I"/>
          <w:sz w:val="18"/>
          <w:szCs w:val="18"/>
        </w:rPr>
      </w:pPr>
      <w:r>
        <w:rPr>
          <w:rFonts w:ascii="AdvOTfe7f2ed9.I" w:hAnsi="AdvOTfe7f2ed9.I" w:cs="AdvOTfe7f2ed9.I"/>
          <w:sz w:val="18"/>
          <w:szCs w:val="18"/>
        </w:rPr>
        <w:t>II. Zugangsbestätigung des Insolvenzschuldners</w:t>
      </w:r>
    </w:p>
    <w:p w:rsidR="00A26B5C" w:rsidRDefault="00A26B5C" w:rsidP="00A26B5C">
      <w:pPr>
        <w:autoSpaceDE w:val="0"/>
        <w:autoSpaceDN w:val="0"/>
        <w:adjustRightInd w:val="0"/>
        <w:rPr>
          <w:rFonts w:ascii="AdvPS_SR" w:hAnsi="AdvPS_SR" w:cs="AdvPS_SR"/>
          <w:sz w:val="18"/>
          <w:szCs w:val="18"/>
        </w:rPr>
      </w:pPr>
      <w:r>
        <w:rPr>
          <w:rFonts w:ascii="AdvPS_SR" w:hAnsi="AdvPS_SR" w:cs="AdvPS_SR"/>
          <w:sz w:val="18"/>
          <w:szCs w:val="18"/>
        </w:rPr>
        <w:t>…</w:t>
      </w:r>
    </w:p>
    <w:p w:rsidR="00A26B5C" w:rsidRDefault="00A26B5C" w:rsidP="00A26B5C">
      <w:pPr>
        <w:autoSpaceDE w:val="0"/>
        <w:autoSpaceDN w:val="0"/>
        <w:adjustRightInd w:val="0"/>
        <w:rPr>
          <w:rFonts w:ascii="AdvOTfe7f2ed9.I" w:hAnsi="AdvOTfe7f2ed9.I" w:cs="AdvOTfe7f2ed9.I"/>
          <w:sz w:val="18"/>
          <w:szCs w:val="18"/>
        </w:rPr>
      </w:pPr>
      <w:r>
        <w:rPr>
          <w:rFonts w:ascii="AdvOTfe7f2ed9.I" w:hAnsi="AdvOTfe7f2ed9.I" w:cs="AdvOTfe7f2ed9.I"/>
          <w:sz w:val="18"/>
          <w:szCs w:val="18"/>
        </w:rPr>
        <w:t>III. Kosten (etc.)</w:t>
      </w:r>
    </w:p>
    <w:p w:rsidR="00A26B5C" w:rsidRDefault="00A26B5C" w:rsidP="00A26B5C">
      <w:pPr>
        <w:autoSpaceDE w:val="0"/>
        <w:autoSpaceDN w:val="0"/>
        <w:adjustRightInd w:val="0"/>
        <w:rPr>
          <w:rFonts w:ascii="AdvPS_SR" w:hAnsi="AdvPS_SR" w:cs="AdvPS_SR"/>
          <w:sz w:val="18"/>
          <w:szCs w:val="18"/>
        </w:rPr>
      </w:pPr>
      <w:r>
        <w:rPr>
          <w:rFonts w:ascii="AdvPS_SR" w:hAnsi="AdvPS_SR" w:cs="AdvPS_SR"/>
          <w:sz w:val="18"/>
          <w:szCs w:val="18"/>
        </w:rPr>
        <w:t>…</w:t>
      </w:r>
    </w:p>
    <w:p w:rsidR="00DA3EDF" w:rsidRDefault="00DA3EDF" w:rsidP="00A26B5C">
      <w:pPr>
        <w:autoSpaceDE w:val="0"/>
        <w:autoSpaceDN w:val="0"/>
        <w:adjustRightInd w:val="0"/>
        <w:rPr>
          <w:rFonts w:ascii="AdvPS_SR" w:hAnsi="AdvPS_SR" w:cs="AdvPS_SR"/>
          <w:sz w:val="18"/>
          <w:szCs w:val="18"/>
        </w:rPr>
      </w:pPr>
    </w:p>
    <w:p w:rsidR="00DA3EDF" w:rsidRDefault="00DA3EDF" w:rsidP="00A26B5C">
      <w:pPr>
        <w:autoSpaceDE w:val="0"/>
        <w:autoSpaceDN w:val="0"/>
        <w:adjustRightInd w:val="0"/>
        <w:rPr>
          <w:rFonts w:ascii="AdvPS_SR" w:hAnsi="AdvPS_SR" w:cs="AdvPS_SR"/>
          <w:sz w:val="18"/>
          <w:szCs w:val="18"/>
        </w:rPr>
      </w:pPr>
    </w:p>
    <w:p w:rsidR="00DA3EDF" w:rsidRDefault="00DA3EDF" w:rsidP="00A26B5C">
      <w:pPr>
        <w:autoSpaceDE w:val="0"/>
        <w:autoSpaceDN w:val="0"/>
        <w:adjustRightInd w:val="0"/>
        <w:rPr>
          <w:rFonts w:ascii="AdvPS_SR" w:hAnsi="AdvPS_SR" w:cs="AdvPS_SR"/>
          <w:b/>
          <w:sz w:val="18"/>
          <w:szCs w:val="18"/>
        </w:rPr>
      </w:pPr>
      <w:r>
        <w:rPr>
          <w:rFonts w:ascii="AdvPS_SR" w:hAnsi="AdvPS_SR" w:cs="AdvPS_SR"/>
          <w:b/>
          <w:sz w:val="18"/>
          <w:szCs w:val="18"/>
        </w:rPr>
        <w:t>S. 214</w:t>
      </w:r>
    </w:p>
    <w:p w:rsidR="00DA3EDF" w:rsidRDefault="00DA3EDF" w:rsidP="00A26B5C">
      <w:pPr>
        <w:autoSpaceDE w:val="0"/>
        <w:autoSpaceDN w:val="0"/>
        <w:adjustRightInd w:val="0"/>
        <w:rPr>
          <w:rFonts w:ascii="AdvPS_SR" w:hAnsi="AdvPS_SR" w:cs="AdvPS_SR"/>
          <w:sz w:val="18"/>
          <w:szCs w:val="18"/>
        </w:rPr>
      </w:pPr>
    </w:p>
    <w:p w:rsidR="00DA3EDF" w:rsidRPr="00DA3EDF" w:rsidRDefault="00DA3EDF" w:rsidP="00DA3EDF">
      <w:pPr>
        <w:autoSpaceDE w:val="0"/>
        <w:autoSpaceDN w:val="0"/>
        <w:adjustRightInd w:val="0"/>
        <w:rPr>
          <w:rFonts w:ascii="Roboto" w:hAnsi="Roboto" w:cs="AdvPS_SSSB"/>
          <w:b/>
          <w:szCs w:val="22"/>
        </w:rPr>
      </w:pPr>
      <w:r w:rsidRPr="00DA3EDF">
        <w:rPr>
          <w:rFonts w:ascii="Roboto" w:hAnsi="Roboto" w:cs="AdvPS_SSSB"/>
          <w:b/>
          <w:szCs w:val="22"/>
        </w:rPr>
        <w:t>Gemeinsame Grundbuchberichtigung aller Gesellschafter bei Nachfolgeklausel:</w:t>
      </w:r>
    </w:p>
    <w:p w:rsidR="00DA3EDF" w:rsidRPr="00DA3EDF" w:rsidRDefault="00DA3EDF" w:rsidP="00DA3EDF">
      <w:pPr>
        <w:autoSpaceDE w:val="0"/>
        <w:autoSpaceDN w:val="0"/>
        <w:adjustRightInd w:val="0"/>
        <w:rPr>
          <w:rFonts w:ascii="Roboto" w:hAnsi="Roboto" w:cs="AdvOTfe7f2ed9.I"/>
          <w:szCs w:val="22"/>
        </w:rPr>
      </w:pPr>
      <w:r w:rsidRPr="00DA3EDF">
        <w:rPr>
          <w:rFonts w:ascii="Roboto" w:hAnsi="Roboto" w:cs="AdvOTfe7f2ed9.I"/>
          <w:szCs w:val="22"/>
        </w:rPr>
        <w:t>1.</w:t>
      </w:r>
    </w:p>
    <w:p w:rsidR="00DA3EDF" w:rsidRPr="00DA3EDF" w:rsidRDefault="00DA3EDF" w:rsidP="00DA3EDF">
      <w:pPr>
        <w:autoSpaceDE w:val="0"/>
        <w:autoSpaceDN w:val="0"/>
        <w:adjustRightInd w:val="0"/>
        <w:rPr>
          <w:rFonts w:ascii="Roboto" w:hAnsi="Roboto" w:cs="AdvOTfe7f2ed9.I"/>
          <w:szCs w:val="22"/>
        </w:rPr>
      </w:pPr>
      <w:r w:rsidRPr="00DA3EDF">
        <w:rPr>
          <w:rFonts w:ascii="Roboto" w:hAnsi="Roboto" w:cs="AdvOTfe7f2ed9.I"/>
          <w:szCs w:val="22"/>
        </w:rPr>
        <w:t>Im Grundbuch ist eingetragen die A-GbR mit deren Gesellschaftern</w:t>
      </w:r>
      <w:r>
        <w:rPr>
          <w:rFonts w:ascii="Roboto" w:hAnsi="Roboto" w:cs="AdvOTfe7f2ed9.I"/>
          <w:szCs w:val="22"/>
        </w:rPr>
        <w:t xml:space="preserve"> </w:t>
      </w:r>
      <w:r w:rsidRPr="00DA3EDF">
        <w:rPr>
          <w:rFonts w:ascii="Roboto" w:hAnsi="Roboto" w:cs="AdvOTfe7f2ed9.I"/>
          <w:szCs w:val="22"/>
        </w:rPr>
        <w:t>X1, Y1 und Z1.</w:t>
      </w:r>
    </w:p>
    <w:p w:rsidR="00DA3EDF" w:rsidRPr="00DA3EDF" w:rsidRDefault="00DA3EDF" w:rsidP="00DA3EDF">
      <w:pPr>
        <w:autoSpaceDE w:val="0"/>
        <w:autoSpaceDN w:val="0"/>
        <w:adjustRightInd w:val="0"/>
        <w:rPr>
          <w:rFonts w:ascii="Roboto" w:hAnsi="Roboto" w:cs="AdvOTfe7f2ed9.I"/>
          <w:szCs w:val="22"/>
        </w:rPr>
      </w:pPr>
      <w:r w:rsidRPr="00DA3EDF">
        <w:rPr>
          <w:rFonts w:ascii="Roboto" w:hAnsi="Roboto" w:cs="AdvOTfe7f2ed9.I"/>
          <w:szCs w:val="22"/>
        </w:rPr>
        <w:t xml:space="preserve">W1 ist als alleiniger Erbe (Erbschein des </w:t>
      </w:r>
      <w:r w:rsidRPr="00DA3EDF">
        <w:rPr>
          <w:rFonts w:ascii="Roboto" w:hAnsi="Roboto" w:cs="AdvPS_SR"/>
          <w:szCs w:val="22"/>
        </w:rPr>
        <w:t xml:space="preserve">… </w:t>
      </w:r>
      <w:r w:rsidRPr="00DA3EDF">
        <w:rPr>
          <w:rFonts w:ascii="Roboto" w:hAnsi="Roboto" w:cs="AdvOTfe7f2ed9.I"/>
          <w:szCs w:val="22"/>
        </w:rPr>
        <w:t xml:space="preserve">Aktenzeichen </w:t>
      </w:r>
      <w:r w:rsidRPr="00DA3EDF">
        <w:rPr>
          <w:rFonts w:ascii="Roboto" w:hAnsi="Roboto" w:cs="AdvPS_SR"/>
          <w:szCs w:val="22"/>
        </w:rPr>
        <w:t>…</w:t>
      </w:r>
      <w:r w:rsidRPr="00DA3EDF">
        <w:rPr>
          <w:rFonts w:ascii="Roboto" w:hAnsi="Roboto" w:cs="AdvOTfe7f2ed9.I"/>
          <w:szCs w:val="22"/>
        </w:rPr>
        <w:t>)</w:t>
      </w:r>
      <w:r>
        <w:rPr>
          <w:rFonts w:ascii="Roboto" w:hAnsi="Roboto" w:cs="AdvOTfe7f2ed9.I"/>
          <w:szCs w:val="22"/>
        </w:rPr>
        <w:t xml:space="preserve"> </w:t>
      </w:r>
      <w:r w:rsidRPr="00DA3EDF">
        <w:rPr>
          <w:rFonts w:ascii="Roboto" w:hAnsi="Roboto" w:cs="AdvOTfe7f2ed9.I"/>
          <w:szCs w:val="22"/>
        </w:rPr>
        <w:t>nach dem</w:t>
      </w:r>
      <w:r>
        <w:rPr>
          <w:rFonts w:ascii="Roboto" w:hAnsi="Roboto" w:cs="AdvOTfe7f2ed9.I"/>
          <w:szCs w:val="22"/>
        </w:rPr>
        <w:t xml:space="preserve"> </w:t>
      </w:r>
      <w:r w:rsidRPr="00DA3EDF">
        <w:rPr>
          <w:rFonts w:ascii="Roboto" w:hAnsi="Roboto" w:cs="AdvOTfe7f2ed9.I"/>
          <w:szCs w:val="22"/>
        </w:rPr>
        <w:t>noch im</w:t>
      </w:r>
      <w:r>
        <w:rPr>
          <w:rFonts w:ascii="Roboto" w:hAnsi="Roboto" w:cs="AdvOTfe7f2ed9.I"/>
          <w:szCs w:val="22"/>
        </w:rPr>
        <w:t xml:space="preserve"> </w:t>
      </w:r>
      <w:r w:rsidRPr="00DA3EDF">
        <w:rPr>
          <w:rFonts w:ascii="Roboto" w:hAnsi="Roboto" w:cs="AdvOTfe7f2ed9.I"/>
          <w:szCs w:val="22"/>
        </w:rPr>
        <w:t>Grundbuch eingetragenen am</w:t>
      </w:r>
      <w:r>
        <w:rPr>
          <w:rFonts w:ascii="Roboto" w:hAnsi="Roboto" w:cs="AdvOTfe7f2ed9.I"/>
          <w:szCs w:val="22"/>
        </w:rPr>
        <w:t xml:space="preserve"> </w:t>
      </w:r>
      <w:r w:rsidRPr="00DA3EDF">
        <w:rPr>
          <w:rFonts w:ascii="Roboto" w:hAnsi="Roboto" w:cs="AdvPS_SR"/>
          <w:szCs w:val="22"/>
        </w:rPr>
        <w:t>…</w:t>
      </w:r>
      <w:r>
        <w:rPr>
          <w:rFonts w:ascii="Roboto" w:hAnsi="Roboto" w:cs="AdvPS_SR"/>
          <w:szCs w:val="22"/>
        </w:rPr>
        <w:t xml:space="preserve"> </w:t>
      </w:r>
      <w:r w:rsidRPr="00DA3EDF">
        <w:rPr>
          <w:rFonts w:ascii="Roboto" w:hAnsi="Roboto" w:cs="AdvOTfe7f2ed9.I"/>
          <w:szCs w:val="22"/>
        </w:rPr>
        <w:t>verstorbenen</w:t>
      </w:r>
      <w:r>
        <w:rPr>
          <w:rFonts w:ascii="Roboto" w:hAnsi="Roboto" w:cs="AdvOTfe7f2ed9.I"/>
          <w:szCs w:val="22"/>
        </w:rPr>
        <w:t xml:space="preserve"> </w:t>
      </w:r>
      <w:r w:rsidRPr="00DA3EDF">
        <w:rPr>
          <w:rFonts w:ascii="Roboto" w:hAnsi="Roboto" w:cs="AdvOTfe7f2ed9.I"/>
          <w:szCs w:val="22"/>
        </w:rPr>
        <w:t>Y1 nach dem Gesellschaftsvertrag in die Gesellschaft eingetreten;</w:t>
      </w:r>
      <w:r>
        <w:rPr>
          <w:rFonts w:ascii="Roboto" w:hAnsi="Roboto" w:cs="AdvOTfe7f2ed9.I"/>
          <w:szCs w:val="22"/>
        </w:rPr>
        <w:t xml:space="preserve"> </w:t>
      </w:r>
      <w:r w:rsidRPr="00DA3EDF">
        <w:rPr>
          <w:rFonts w:ascii="Roboto" w:hAnsi="Roboto" w:cs="AdvOTfe7f2ed9.I"/>
          <w:szCs w:val="22"/>
        </w:rPr>
        <w:t>Y1 ist durch Tod ausgeschieden.</w:t>
      </w:r>
    </w:p>
    <w:p w:rsidR="00DA3EDF" w:rsidRPr="00DA3EDF" w:rsidRDefault="00DA3EDF" w:rsidP="00DA3EDF">
      <w:pPr>
        <w:autoSpaceDE w:val="0"/>
        <w:autoSpaceDN w:val="0"/>
        <w:adjustRightInd w:val="0"/>
        <w:rPr>
          <w:rFonts w:ascii="Roboto" w:hAnsi="Roboto" w:cs="AdvOTfe7f2ed9.I"/>
          <w:szCs w:val="22"/>
        </w:rPr>
      </w:pPr>
      <w:r w:rsidRPr="00DA3EDF">
        <w:rPr>
          <w:rFonts w:ascii="Roboto" w:hAnsi="Roboto" w:cs="AdvOTfe7f2ed9.I"/>
          <w:szCs w:val="22"/>
        </w:rPr>
        <w:t>2.</w:t>
      </w:r>
    </w:p>
    <w:p w:rsidR="00DA3EDF" w:rsidRPr="00DA3EDF" w:rsidRDefault="00DA3EDF" w:rsidP="00DA3EDF">
      <w:pPr>
        <w:autoSpaceDE w:val="0"/>
        <w:autoSpaceDN w:val="0"/>
        <w:adjustRightInd w:val="0"/>
        <w:rPr>
          <w:rFonts w:ascii="Roboto" w:hAnsi="Roboto" w:cs="AdvOTfe7f2ed9.I"/>
          <w:szCs w:val="22"/>
        </w:rPr>
      </w:pPr>
      <w:r w:rsidRPr="00DA3EDF">
        <w:rPr>
          <w:rFonts w:ascii="Roboto" w:hAnsi="Roboto" w:cs="AdvOTfe7f2ed9.I"/>
          <w:szCs w:val="22"/>
        </w:rPr>
        <w:t>Alleinige Gesellschafter der A-GbR und vertretungsberechtigt sind</w:t>
      </w:r>
      <w:r>
        <w:rPr>
          <w:rFonts w:ascii="Roboto" w:hAnsi="Roboto" w:cs="AdvOTfe7f2ed9.I"/>
          <w:szCs w:val="22"/>
        </w:rPr>
        <w:t xml:space="preserve"> </w:t>
      </w:r>
      <w:r w:rsidRPr="00DA3EDF">
        <w:rPr>
          <w:rFonts w:ascii="Roboto" w:hAnsi="Roboto" w:cs="AdvOTfe7f2ed9.I"/>
          <w:szCs w:val="22"/>
        </w:rPr>
        <w:t>auch heute noch die Beteiligten X1,W1 und Z1.</w:t>
      </w:r>
    </w:p>
    <w:p w:rsidR="00DA3EDF" w:rsidRPr="00DA3EDF" w:rsidRDefault="00DA3EDF" w:rsidP="00DA3EDF">
      <w:pPr>
        <w:autoSpaceDE w:val="0"/>
        <w:autoSpaceDN w:val="0"/>
        <w:adjustRightInd w:val="0"/>
        <w:rPr>
          <w:rFonts w:ascii="Roboto" w:hAnsi="Roboto" w:cs="AdvOTfe7f2ed9.I"/>
          <w:szCs w:val="22"/>
        </w:rPr>
      </w:pPr>
      <w:r w:rsidRPr="00DA3EDF">
        <w:rPr>
          <w:rFonts w:ascii="Roboto" w:hAnsi="Roboto" w:cs="AdvOTfe7f2ed9.I"/>
          <w:szCs w:val="22"/>
        </w:rPr>
        <w:t>3.</w:t>
      </w:r>
    </w:p>
    <w:p w:rsidR="00DA3EDF" w:rsidRDefault="00DA3EDF" w:rsidP="00DA3EDF">
      <w:pPr>
        <w:autoSpaceDE w:val="0"/>
        <w:autoSpaceDN w:val="0"/>
        <w:adjustRightInd w:val="0"/>
        <w:rPr>
          <w:rFonts w:ascii="Roboto" w:hAnsi="Roboto" w:cs="AdvOTfe7f2ed9.I"/>
          <w:szCs w:val="22"/>
        </w:rPr>
      </w:pPr>
      <w:r w:rsidRPr="00DA3EDF">
        <w:rPr>
          <w:rFonts w:ascii="Roboto" w:hAnsi="Roboto" w:cs="AdvOTfe7f2ed9.I"/>
          <w:szCs w:val="22"/>
        </w:rPr>
        <w:t>Die Beteiligten X1, W1 und Z1 bewilligen und beantragen die</w:t>
      </w:r>
      <w:r>
        <w:rPr>
          <w:rFonts w:ascii="Roboto" w:hAnsi="Roboto" w:cs="AdvOTfe7f2ed9.I"/>
          <w:szCs w:val="22"/>
        </w:rPr>
        <w:t xml:space="preserve"> </w:t>
      </w:r>
      <w:r w:rsidRPr="00DA3EDF">
        <w:rPr>
          <w:rFonts w:ascii="Roboto" w:hAnsi="Roboto" w:cs="AdvOTfe7f2ed9.I"/>
          <w:szCs w:val="22"/>
        </w:rPr>
        <w:t>Berichtigung des Grundbuches dahingehend, dass Y1 aus der</w:t>
      </w:r>
      <w:r>
        <w:rPr>
          <w:rFonts w:ascii="Roboto" w:hAnsi="Roboto" w:cs="AdvOTfe7f2ed9.I"/>
          <w:szCs w:val="22"/>
        </w:rPr>
        <w:t xml:space="preserve"> </w:t>
      </w:r>
      <w:r w:rsidRPr="00DA3EDF">
        <w:rPr>
          <w:rFonts w:ascii="Roboto" w:hAnsi="Roboto" w:cs="AdvOTfe7f2ed9.I"/>
          <w:szCs w:val="22"/>
        </w:rPr>
        <w:t>Gesellschaft durch seinen Tod ausgeschieden ist und an seine</w:t>
      </w:r>
      <w:r>
        <w:rPr>
          <w:rFonts w:ascii="Roboto" w:hAnsi="Roboto" w:cs="AdvOTfe7f2ed9.I"/>
          <w:szCs w:val="22"/>
        </w:rPr>
        <w:t xml:space="preserve"> </w:t>
      </w:r>
      <w:r w:rsidRPr="00DA3EDF">
        <w:rPr>
          <w:rFonts w:ascii="Roboto" w:hAnsi="Roboto" w:cs="AdvOTfe7f2ed9.I"/>
          <w:szCs w:val="22"/>
        </w:rPr>
        <w:t>Stelle W1 als nachfolgeberechtigter Erbe eingetreten ist.</w:t>
      </w:r>
    </w:p>
    <w:p w:rsidR="00DA3EDF" w:rsidRDefault="00DA3EDF" w:rsidP="00DA3EDF">
      <w:pPr>
        <w:autoSpaceDE w:val="0"/>
        <w:autoSpaceDN w:val="0"/>
        <w:adjustRightInd w:val="0"/>
        <w:rPr>
          <w:rFonts w:ascii="Roboto" w:hAnsi="Roboto" w:cs="AdvOTfe7f2ed9.I"/>
          <w:szCs w:val="22"/>
        </w:rPr>
      </w:pPr>
    </w:p>
    <w:p w:rsidR="00DA3EDF" w:rsidRDefault="00DA3EDF" w:rsidP="00DA3EDF">
      <w:pPr>
        <w:autoSpaceDE w:val="0"/>
        <w:autoSpaceDN w:val="0"/>
        <w:adjustRightInd w:val="0"/>
        <w:rPr>
          <w:rFonts w:ascii="Roboto" w:hAnsi="Roboto" w:cs="AdvOTfe7f2ed9.I"/>
          <w:szCs w:val="22"/>
        </w:rPr>
      </w:pPr>
    </w:p>
    <w:p w:rsidR="00DA3EDF" w:rsidRPr="00DA3EDF" w:rsidRDefault="00DA3EDF" w:rsidP="00DA3EDF">
      <w:pPr>
        <w:autoSpaceDE w:val="0"/>
        <w:autoSpaceDN w:val="0"/>
        <w:adjustRightInd w:val="0"/>
        <w:rPr>
          <w:rFonts w:ascii="Roboto" w:hAnsi="Roboto" w:cs="AdvOTfe7f2ed9.I"/>
          <w:b/>
          <w:szCs w:val="22"/>
        </w:rPr>
      </w:pPr>
      <w:r w:rsidRPr="00DA3EDF">
        <w:rPr>
          <w:rFonts w:ascii="Roboto" w:hAnsi="Roboto" w:cs="AdvOTfe7f2ed9.I"/>
          <w:b/>
          <w:szCs w:val="22"/>
        </w:rPr>
        <w:t>S. 215</w:t>
      </w:r>
    </w:p>
    <w:p w:rsidR="00DA3EDF" w:rsidRPr="00DA3EDF" w:rsidRDefault="00DA3EDF" w:rsidP="00DA3EDF">
      <w:pPr>
        <w:rPr>
          <w:b/>
        </w:rPr>
      </w:pPr>
      <w:r w:rsidRPr="00DA3EDF">
        <w:rPr>
          <w:b/>
        </w:rPr>
        <w:t>Erbbaurechtswohnung nach WEG mit Zustimmungspflicht Verwalter und Erbbaurechtsausgeber:</w:t>
      </w:r>
    </w:p>
    <w:p w:rsidR="00DA3EDF" w:rsidRPr="00DA3EDF" w:rsidRDefault="00DA3EDF" w:rsidP="00DA3EDF">
      <w:r w:rsidRPr="00DA3EDF">
        <w:lastRenderedPageBreak/>
        <w:t>Der gesamte Kaufpreis ist fällig frühestens am … vorausgesetzt, folgende Voraussetzungen sind erfüllt:</w:t>
      </w:r>
    </w:p>
    <w:p w:rsidR="00DA3EDF" w:rsidRPr="00DA3EDF" w:rsidRDefault="00DA3EDF" w:rsidP="00DA3EDF">
      <w:r w:rsidRPr="00DA3EDF">
        <w:t>a) ….</w:t>
      </w:r>
    </w:p>
    <w:p w:rsidR="00DA3EDF" w:rsidRPr="00DA3EDF" w:rsidRDefault="00DA3EDF" w:rsidP="00DA3EDF">
      <w:r w:rsidRPr="00DA3EDF">
        <w:t>b) die Löschungsunterlagen für die nicht übernommenen Belastungen liegen in der Form des § 29 GBO auflagenfrei vor oder über diese kann gegen Zahlung eines Ablösebetrages verfügt werden, der zusammen mit dem Ablösebetrag nach Buchstabe d), bb) und e), nicht höher als der vereinbarte Kaufpreis ist,</w:t>
      </w:r>
    </w:p>
    <w:p w:rsidR="00DA3EDF" w:rsidRPr="00DA3EDF" w:rsidRDefault="00DA3EDF" w:rsidP="00DA3EDF">
      <w:r w:rsidRPr="00DA3EDF">
        <w:t>c) …</w:t>
      </w:r>
    </w:p>
    <w:p w:rsidR="00DA3EDF" w:rsidRPr="00DA3EDF" w:rsidRDefault="00DA3EDF" w:rsidP="00DA3EDF">
      <w:r w:rsidRPr="00DA3EDF">
        <w:t>d) der Erbbaurechtsausgeber hinsichtlich des Vertragsgegenstandes</w:t>
      </w:r>
    </w:p>
    <w:p w:rsidR="00DA3EDF" w:rsidRPr="00DA3EDF" w:rsidRDefault="00DA3EDF" w:rsidP="00DA3EDF">
      <w:r w:rsidRPr="00DA3EDF">
        <w:tab/>
        <w:t>aa) die Zustimmung zur Veräußerung in der Form des § 29 GBO erteilt hat und diese beim Notar eingegangen ist</w:t>
      </w:r>
    </w:p>
    <w:p w:rsidR="00DA3EDF" w:rsidRPr="00DA3EDF" w:rsidRDefault="00DA3EDF" w:rsidP="00DA3EDF">
      <w:r w:rsidRPr="00DA3EDF">
        <w:tab/>
        <w:t>bb) dem Notar schriftlich bestätigt hat, dass er der vertraglich befreienden Schuldübernahme durch vertraglichen Eintritt des Käufers in den dinglichen und schuldrechtlichen Teil des Erbbaurechtsvertrag aufschiebend bedingt zum Tage des Besitzübergangs zustimmt oder über diese Zustimmung verfügt werden kann gegen Zahlung eines Ablösebetrages, der zusammen mit dem Ablösebetrag nach Buchstabe b), e) nicht höher als der vereinbarte Kaufpreis ist,</w:t>
      </w:r>
    </w:p>
    <w:p w:rsidR="00DA3EDF" w:rsidRPr="00DA3EDF" w:rsidRDefault="00DA3EDF" w:rsidP="00DA3EDF">
      <w:r w:rsidRPr="00DA3EDF">
        <w:t>e) der Verwalter die Zustimmung zur Veräußerung in der Form des § 29 GBO erteilt hat und diese beim Notar eingegangen ist sowie dem Notar schriftlich bestätigt hat, dass rückständige Hausgeldzahlungen, für die der Käufer oder der Grundbesitz haftet, nicht bestehen oder über diese Bestätigung (Freigabe) gegen Zahlung eines Ablösebetrages verfügt werden kann, der zusammen mit dem Ablösebetrag nach Buchstabe b), d) bb) nicht höher als der vereinbarte Kaufpreis ist</w:t>
      </w:r>
    </w:p>
    <w:p w:rsidR="00DA3EDF" w:rsidRDefault="00DA3EDF" w:rsidP="00DA3EDF">
      <w:pPr>
        <w:autoSpaceDE w:val="0"/>
        <w:autoSpaceDN w:val="0"/>
        <w:adjustRightInd w:val="0"/>
      </w:pPr>
      <w:r>
        <w:t>Der Notar wird den Beteiligten das Vorliegen der Voraussetzungen nach Buchstabe a) – e) spätestens eine Woche nach deren Eintritt schriftlich mitteilen.</w:t>
      </w:r>
    </w:p>
    <w:p w:rsidR="00DA3EDF" w:rsidRDefault="00DA3EDF" w:rsidP="00DA3EDF">
      <w:pPr>
        <w:autoSpaceDE w:val="0"/>
        <w:autoSpaceDN w:val="0"/>
        <w:adjustRightInd w:val="0"/>
      </w:pPr>
    </w:p>
    <w:p w:rsidR="00DA3EDF" w:rsidRDefault="00DA3EDF" w:rsidP="00DA3EDF">
      <w:pPr>
        <w:autoSpaceDE w:val="0"/>
        <w:autoSpaceDN w:val="0"/>
        <w:adjustRightInd w:val="0"/>
      </w:pPr>
    </w:p>
    <w:p w:rsidR="00DA3EDF" w:rsidRDefault="00DA3EDF" w:rsidP="00DA3EDF">
      <w:pPr>
        <w:autoSpaceDE w:val="0"/>
        <w:autoSpaceDN w:val="0"/>
        <w:adjustRightInd w:val="0"/>
      </w:pPr>
      <w:r>
        <w:t xml:space="preserve">rechtsprechung </w:t>
      </w:r>
    </w:p>
    <w:p w:rsidR="00DA3EDF" w:rsidRPr="00DA3EDF" w:rsidRDefault="00DA3EDF" w:rsidP="00DA3EDF">
      <w:pPr>
        <w:autoSpaceDE w:val="0"/>
        <w:autoSpaceDN w:val="0"/>
        <w:adjustRightInd w:val="0"/>
        <w:rPr>
          <w:rFonts w:ascii="Roboto" w:hAnsi="Roboto"/>
          <w:i/>
        </w:rPr>
      </w:pPr>
      <w:r w:rsidRPr="00DA3EDF">
        <w:rPr>
          <w:rFonts w:ascii="Roboto" w:hAnsi="Roboto"/>
          <w:i/>
        </w:rPr>
        <w:t>Löschung eines Nacherbenvermerks bei Veräußerung des Grundstücks mit Zustimmung des Vorerben, auf den alle Nacherbenanwartschaftsrechte übertragen wurden; Anhörung von Ersatznacherben</w:t>
      </w:r>
    </w:p>
    <w:p w:rsidR="00DA3EDF" w:rsidRPr="00DA3EDF" w:rsidRDefault="00DA3EDF" w:rsidP="00DA3EDF">
      <w:pPr>
        <w:autoSpaceDE w:val="0"/>
        <w:autoSpaceDN w:val="0"/>
        <w:adjustRightInd w:val="0"/>
        <w:rPr>
          <w:rFonts w:ascii="Roboto" w:hAnsi="Roboto"/>
          <w:b/>
        </w:rPr>
      </w:pPr>
      <w:r w:rsidRPr="00DA3EDF">
        <w:rPr>
          <w:rFonts w:ascii="Roboto" w:hAnsi="Roboto"/>
          <w:b/>
        </w:rPr>
        <w:t>OLG München, Beschl. v. 28.11.2017 – 34 Wx 176/17</w:t>
      </w:r>
    </w:p>
    <w:p w:rsidR="00DA3EDF" w:rsidRPr="00DA3EDF" w:rsidRDefault="00DA3EDF" w:rsidP="00DA3EDF">
      <w:pPr>
        <w:autoSpaceDE w:val="0"/>
        <w:autoSpaceDN w:val="0"/>
        <w:adjustRightInd w:val="0"/>
        <w:rPr>
          <w:rFonts w:ascii="Roboto" w:hAnsi="Roboto" w:cs="AdvPS_SR"/>
          <w:b/>
          <w:szCs w:val="22"/>
        </w:rPr>
      </w:pPr>
      <w:r w:rsidRPr="00DA3EDF">
        <w:rPr>
          <w:rFonts w:ascii="Roboto" w:hAnsi="Roboto" w:cs="AdvPS_SR"/>
          <w:b/>
          <w:szCs w:val="22"/>
        </w:rPr>
        <w:t>S. 225</w:t>
      </w:r>
    </w:p>
    <w:p w:rsidR="00DA3EDF" w:rsidRPr="00DA3EDF" w:rsidRDefault="00DA3EDF" w:rsidP="00DA3EDF">
      <w:pPr>
        <w:autoSpaceDE w:val="0"/>
        <w:autoSpaceDN w:val="0"/>
        <w:adjustRightInd w:val="0"/>
        <w:rPr>
          <w:rFonts w:ascii="Roboto" w:hAnsi="Roboto" w:cs="AdvPS_SSSB"/>
          <w:b/>
          <w:szCs w:val="18"/>
        </w:rPr>
      </w:pPr>
      <w:r w:rsidRPr="00DA3EDF">
        <w:rPr>
          <w:rFonts w:ascii="Roboto" w:hAnsi="Roboto" w:cs="AdvPS_SSSB"/>
          <w:b/>
          <w:szCs w:val="18"/>
        </w:rPr>
        <w:t>Erlöschen der Ersatznacherbfolge bei Übertragung auf den Vorerben:</w:t>
      </w:r>
    </w:p>
    <w:p w:rsidR="00DA3EDF" w:rsidRPr="00DA3EDF" w:rsidRDefault="00DA3EDF" w:rsidP="00DA3EDF">
      <w:pPr>
        <w:autoSpaceDE w:val="0"/>
        <w:autoSpaceDN w:val="0"/>
        <w:adjustRightInd w:val="0"/>
        <w:rPr>
          <w:rFonts w:ascii="Roboto" w:hAnsi="Roboto" w:cs="AdvPS_SR"/>
          <w:szCs w:val="22"/>
        </w:rPr>
      </w:pPr>
      <w:r w:rsidRPr="00DA3EDF">
        <w:rPr>
          <w:rFonts w:ascii="Roboto" w:hAnsi="Roboto"/>
          <w:szCs w:val="22"/>
        </w:rPr>
        <w:t>Die Nacherbenanwartschaften sind nicht vererblich und nicht übertragbar, es sei denn, ein Nacherbe überträgt seine Nacherbenanwartschaft auf den Vorerben. In diesem Fall entfällt jede ausdrückliche oder stillschweigende Ersatznacherbeneinsetzung</w:t>
      </w:r>
      <w:r w:rsidRPr="00DA3EDF">
        <w:rPr>
          <w:rFonts w:ascii="Roboto" w:hAnsi="Roboto" w:cs="AdvOTfe7f2ed9.I"/>
          <w:szCs w:val="22"/>
        </w:rPr>
        <w:t>.</w:t>
      </w:r>
    </w:p>
    <w:sectPr w:rsidR="00DA3EDF" w:rsidRPr="00DA3ED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ADE" w:rsidRDefault="00813ADE">
      <w:r>
        <w:separator/>
      </w:r>
    </w:p>
  </w:endnote>
  <w:endnote w:type="continuationSeparator" w:id="0">
    <w:p w:rsidR="00813ADE" w:rsidRDefault="0081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AdvOTfe7f2ed9.I">
    <w:panose1 w:val="00000000000000000000"/>
    <w:charset w:val="00"/>
    <w:family w:val="roman"/>
    <w:notTrueType/>
    <w:pitch w:val="default"/>
    <w:sig w:usb0="00000003" w:usb1="00000000" w:usb2="00000000" w:usb3="00000000" w:csb0="00000001" w:csb1="00000000"/>
  </w:font>
  <w:font w:name="AdvPS_S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ADE" w:rsidRDefault="00813ADE">
      <w:r>
        <w:separator/>
      </w:r>
    </w:p>
  </w:footnote>
  <w:footnote w:type="continuationSeparator" w:id="0">
    <w:p w:rsidR="00813ADE" w:rsidRDefault="00813A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E20"/>
    <w:multiLevelType w:val="hybridMultilevel"/>
    <w:tmpl w:val="4A865B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1E5830"/>
    <w:multiLevelType w:val="hybridMultilevel"/>
    <w:tmpl w:val="D69A609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3"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EC312A0"/>
    <w:multiLevelType w:val="hybridMultilevel"/>
    <w:tmpl w:val="774C4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174D4A"/>
    <w:multiLevelType w:val="hybridMultilevel"/>
    <w:tmpl w:val="C1126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7" w15:restartNumberingAfterBreak="0">
    <w:nsid w:val="1C6057A0"/>
    <w:multiLevelType w:val="hybridMultilevel"/>
    <w:tmpl w:val="B64AD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B76822"/>
    <w:multiLevelType w:val="hybridMultilevel"/>
    <w:tmpl w:val="45AA09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2"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F530B1"/>
    <w:multiLevelType w:val="hybridMultilevel"/>
    <w:tmpl w:val="37FE5E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5"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3" w15:restartNumberingAfterBreak="0">
    <w:nsid w:val="4D531D6B"/>
    <w:multiLevelType w:val="hybridMultilevel"/>
    <w:tmpl w:val="7ED056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9" w15:restartNumberingAfterBreak="0">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7A2558"/>
    <w:multiLevelType w:val="hybridMultilevel"/>
    <w:tmpl w:val="98B4CB20"/>
    <w:lvl w:ilvl="0" w:tplc="558ADED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31" w15:restartNumberingAfterBreak="0">
    <w:nsid w:val="7A4B6941"/>
    <w:multiLevelType w:val="hybridMultilevel"/>
    <w:tmpl w:val="5462AC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24"/>
  </w:num>
  <w:num w:numId="4">
    <w:abstractNumId w:val="3"/>
  </w:num>
  <w:num w:numId="5">
    <w:abstractNumId w:val="20"/>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num>
  <w:num w:numId="9">
    <w:abstractNumId w:val="27"/>
  </w:num>
  <w:num w:numId="10">
    <w:abstractNumId w:val="15"/>
  </w:num>
  <w:num w:numId="11">
    <w:abstractNumId w:val="16"/>
  </w:num>
  <w:num w:numId="12">
    <w:abstractNumId w:val="32"/>
  </w:num>
  <w:num w:numId="13">
    <w:abstractNumId w:val="10"/>
  </w:num>
  <w:num w:numId="14">
    <w:abstractNumId w:val="26"/>
  </w:num>
  <w:num w:numId="15">
    <w:abstractNumId w:val="9"/>
  </w:num>
  <w:num w:numId="16">
    <w:abstractNumId w:val="29"/>
  </w:num>
  <w:num w:numId="17">
    <w:abstractNumId w:val="25"/>
  </w:num>
  <w:num w:numId="18">
    <w:abstractNumId w:val="6"/>
  </w:num>
  <w:num w:numId="19">
    <w:abstractNumId w:val="17"/>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8"/>
  </w:num>
  <w:num w:numId="23">
    <w:abstractNumId w:val="14"/>
  </w:num>
  <w:num w:numId="24">
    <w:abstractNumId w:val="11"/>
  </w:num>
  <w:num w:numId="25">
    <w:abstractNumId w:val="22"/>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3"/>
  </w:num>
  <w:num w:numId="30">
    <w:abstractNumId w:val="30"/>
  </w:num>
  <w:num w:numId="31">
    <w:abstractNumId w:val="8"/>
  </w:num>
  <w:num w:numId="32">
    <w:abstractNumId w:val="5"/>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1"/>
  </w:num>
  <w:num w:numId="36">
    <w:abstractNumId w:val="13"/>
  </w:num>
  <w:num w:numId="37">
    <w:abstractNumId w:val="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0E5"/>
    <w:rsid w:val="000333D2"/>
    <w:rsid w:val="00034FB1"/>
    <w:rsid w:val="00044957"/>
    <w:rsid w:val="000A4B47"/>
    <w:rsid w:val="000E5ACA"/>
    <w:rsid w:val="001004E1"/>
    <w:rsid w:val="00126FD6"/>
    <w:rsid w:val="001302F1"/>
    <w:rsid w:val="001322E3"/>
    <w:rsid w:val="00190BDB"/>
    <w:rsid w:val="001B10F9"/>
    <w:rsid w:val="001E4F15"/>
    <w:rsid w:val="001E7401"/>
    <w:rsid w:val="001F200D"/>
    <w:rsid w:val="001F3031"/>
    <w:rsid w:val="002179BA"/>
    <w:rsid w:val="00225DCD"/>
    <w:rsid w:val="00244B39"/>
    <w:rsid w:val="002464A7"/>
    <w:rsid w:val="0026593D"/>
    <w:rsid w:val="00273161"/>
    <w:rsid w:val="002A121A"/>
    <w:rsid w:val="002C06D8"/>
    <w:rsid w:val="002D00DF"/>
    <w:rsid w:val="002D6D01"/>
    <w:rsid w:val="0038506C"/>
    <w:rsid w:val="00386795"/>
    <w:rsid w:val="003F39B4"/>
    <w:rsid w:val="00414052"/>
    <w:rsid w:val="004210ED"/>
    <w:rsid w:val="004754C0"/>
    <w:rsid w:val="00476086"/>
    <w:rsid w:val="0049193A"/>
    <w:rsid w:val="00492155"/>
    <w:rsid w:val="00494E87"/>
    <w:rsid w:val="0049511B"/>
    <w:rsid w:val="004E159D"/>
    <w:rsid w:val="004E370E"/>
    <w:rsid w:val="004F167E"/>
    <w:rsid w:val="005140FA"/>
    <w:rsid w:val="005219C1"/>
    <w:rsid w:val="005300BF"/>
    <w:rsid w:val="00541ED4"/>
    <w:rsid w:val="0055272E"/>
    <w:rsid w:val="005C150D"/>
    <w:rsid w:val="005C3571"/>
    <w:rsid w:val="005E5362"/>
    <w:rsid w:val="00600150"/>
    <w:rsid w:val="00687985"/>
    <w:rsid w:val="006B4724"/>
    <w:rsid w:val="006C704B"/>
    <w:rsid w:val="006D561F"/>
    <w:rsid w:val="00705899"/>
    <w:rsid w:val="00733622"/>
    <w:rsid w:val="007412EF"/>
    <w:rsid w:val="007429B0"/>
    <w:rsid w:val="00772B7C"/>
    <w:rsid w:val="00790FC4"/>
    <w:rsid w:val="007A02EC"/>
    <w:rsid w:val="007A0E79"/>
    <w:rsid w:val="007A6439"/>
    <w:rsid w:val="00813ADE"/>
    <w:rsid w:val="00821317"/>
    <w:rsid w:val="0083305E"/>
    <w:rsid w:val="00834E9C"/>
    <w:rsid w:val="00842869"/>
    <w:rsid w:val="0085793A"/>
    <w:rsid w:val="00864731"/>
    <w:rsid w:val="00865D44"/>
    <w:rsid w:val="00870D9F"/>
    <w:rsid w:val="008717D4"/>
    <w:rsid w:val="008C097F"/>
    <w:rsid w:val="009441EB"/>
    <w:rsid w:val="00960042"/>
    <w:rsid w:val="00974D65"/>
    <w:rsid w:val="00984576"/>
    <w:rsid w:val="0098684B"/>
    <w:rsid w:val="009D25C3"/>
    <w:rsid w:val="009D38A5"/>
    <w:rsid w:val="009F3511"/>
    <w:rsid w:val="00A26B5C"/>
    <w:rsid w:val="00A50DE4"/>
    <w:rsid w:val="00A55BB4"/>
    <w:rsid w:val="00A85A0A"/>
    <w:rsid w:val="00A85C49"/>
    <w:rsid w:val="00AE7888"/>
    <w:rsid w:val="00AF2284"/>
    <w:rsid w:val="00AF4D97"/>
    <w:rsid w:val="00B0665D"/>
    <w:rsid w:val="00B443A9"/>
    <w:rsid w:val="00B53404"/>
    <w:rsid w:val="00B614AC"/>
    <w:rsid w:val="00B70102"/>
    <w:rsid w:val="00BF1411"/>
    <w:rsid w:val="00C03FEF"/>
    <w:rsid w:val="00C140CB"/>
    <w:rsid w:val="00C15D2A"/>
    <w:rsid w:val="00C25EBC"/>
    <w:rsid w:val="00C315E0"/>
    <w:rsid w:val="00CC1C05"/>
    <w:rsid w:val="00CC4A0A"/>
    <w:rsid w:val="00CC5CE3"/>
    <w:rsid w:val="00CC7AAD"/>
    <w:rsid w:val="00CF4FB5"/>
    <w:rsid w:val="00D35965"/>
    <w:rsid w:val="00D44E95"/>
    <w:rsid w:val="00D54FD3"/>
    <w:rsid w:val="00D664ED"/>
    <w:rsid w:val="00DA3EDF"/>
    <w:rsid w:val="00DC3CF2"/>
    <w:rsid w:val="00DD65D8"/>
    <w:rsid w:val="00DE416A"/>
    <w:rsid w:val="00DE7245"/>
    <w:rsid w:val="00DF4E34"/>
    <w:rsid w:val="00E17964"/>
    <w:rsid w:val="00E2521F"/>
    <w:rsid w:val="00E36AB4"/>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B78F9"/>
  <w15:docId w15:val="{594C12DA-29A1-4566-AF0F-0C72F629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 w:type="character" w:customStyle="1" w:styleId="ZFAbk">
    <w:name w:val="ZF Abk"/>
    <w:basedOn w:val="Absatz-Standardschriftart"/>
    <w:rsid w:val="009D38A5"/>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32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3FDC0-0D6A-4B40-8127-EE25578E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4</cp:revision>
  <cp:lastPrinted>2014-04-16T11:53:00Z</cp:lastPrinted>
  <dcterms:created xsi:type="dcterms:W3CDTF">2018-06-06T10:00:00Z</dcterms:created>
  <dcterms:modified xsi:type="dcterms:W3CDTF">2023-03-22T08:22:00Z</dcterms:modified>
</cp:coreProperties>
</file>