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90762F">
        <w:t>3</w:t>
      </w:r>
      <w:r>
        <w:t>/201</w:t>
      </w:r>
      <w:r w:rsidR="00BA10AD">
        <w:t>6</w:t>
      </w:r>
      <w:bookmarkStart w:id="0" w:name="_GoBack"/>
      <w:bookmarkEnd w:id="0"/>
    </w:p>
    <w:p w:rsidR="00EC4672" w:rsidRDefault="00EC4672">
      <w:pPr>
        <w:pStyle w:val="berschrift1"/>
      </w:pPr>
    </w:p>
    <w:p w:rsidR="00E943FC" w:rsidRDefault="002D00DF">
      <w:pPr>
        <w:pStyle w:val="berschrift1"/>
      </w:pPr>
      <w:r>
        <w:t xml:space="preserve">Beitrag des Monats: </w:t>
      </w:r>
      <w:r w:rsidR="000C2643">
        <w:t>Rechtswahl – und Gerichtsstandsvereinbarungen nach der Europäischen Erbrechtsverordnung</w:t>
      </w:r>
    </w:p>
    <w:p w:rsidR="00527A21" w:rsidRDefault="00527A21" w:rsidP="00527A21"/>
    <w:p w:rsidR="00527A21" w:rsidRPr="00527A21" w:rsidRDefault="00527A21" w:rsidP="00527A21">
      <w:pPr>
        <w:rPr>
          <w:b/>
        </w:rPr>
      </w:pPr>
      <w:r w:rsidRPr="00527A21">
        <w:rPr>
          <w:b/>
        </w:rPr>
        <w:t xml:space="preserve">S. </w:t>
      </w:r>
      <w:r w:rsidR="000C2643">
        <w:rPr>
          <w:b/>
        </w:rPr>
        <w:t>76</w:t>
      </w:r>
    </w:p>
    <w:p w:rsidR="000C2643" w:rsidRPr="000C2643" w:rsidRDefault="000C2643" w:rsidP="000C2643">
      <w:r w:rsidRPr="000C2643">
        <w:rPr>
          <w:b/>
        </w:rPr>
        <w:t>Umfassende Rechtswahl:</w:t>
      </w:r>
      <w:r w:rsidRPr="000C2643">
        <w:rPr>
          <w:rStyle w:val="Funotenzeichen"/>
        </w:rPr>
        <w:footnoteReference w:id="1"/>
      </w:r>
    </w:p>
    <w:p w:rsidR="000C2643" w:rsidRPr="000C2643" w:rsidRDefault="000C2643" w:rsidP="000C2643">
      <w:r w:rsidRPr="000C2643">
        <w:t xml:space="preserve">Ich bin deutscher Staatsangehöriger und habe meinen gewöhnlichen Aufenthalt in </w:t>
      </w:r>
      <w:proofErr w:type="gramStart"/>
      <w:r w:rsidRPr="000C2643">
        <w:t>… .</w:t>
      </w:r>
      <w:proofErr w:type="gramEnd"/>
      <w:r w:rsidRPr="000C2643">
        <w:t xml:space="preserve"> Ich wähle jedoch hiermit für die Rechtsnachfolge von Todes wegen in mein gesamtes Vermögen sowie für Fragen der Rechtswirksamkeit dieses Testaments das deutsche Recht als mein Staatsangehörigkeitsrecht. </w:t>
      </w:r>
    </w:p>
    <w:p w:rsidR="000C2643" w:rsidRPr="000C2643" w:rsidRDefault="000C2643" w:rsidP="000C2643">
      <w:r w:rsidRPr="000C2643">
        <w:t>Der Notar hat mich insbesondere darauf hingewiesen, dass</w:t>
      </w:r>
    </w:p>
    <w:p w:rsidR="000C2643" w:rsidRPr="00885E00" w:rsidRDefault="000C2643" w:rsidP="000C2643">
      <w:pPr>
        <w:pStyle w:val="Listenabsatz"/>
        <w:numPr>
          <w:ilvl w:val="0"/>
          <w:numId w:val="35"/>
        </w:numPr>
      </w:pPr>
      <w:r w:rsidRPr="000C2643">
        <w:t>die Rechtswahl nicht nur für das heutige Testament, sondern für alle Aspekte der Rechtsnachfolge von Todes wegen (wie z. B. auch für Pflichtteilsrechte) gilt;</w:t>
      </w:r>
    </w:p>
    <w:p w:rsidR="0068525A" w:rsidRDefault="000C2643" w:rsidP="000C2643">
      <w:pPr>
        <w:pStyle w:val="Listenabsatz"/>
        <w:numPr>
          <w:ilvl w:val="0"/>
          <w:numId w:val="35"/>
        </w:numPr>
      </w:pPr>
      <w:r w:rsidRPr="00885E00">
        <w:t xml:space="preserve">ohne Rechtswahl das Erbrecht des gewöhnlichen Aufenthaltsorts zur Anwendung </w:t>
      </w:r>
      <w:r>
        <w:t>käme</w:t>
      </w:r>
      <w:r w:rsidRPr="00885E00">
        <w:t>. Der Notar muss ausländisches Recht nicht kennen und hat darüber als Alternative zu meiner heutigen Verfügung auch nicht im Einzelnen zu beraten.</w:t>
      </w:r>
    </w:p>
    <w:p w:rsidR="000C2643" w:rsidRDefault="000C2643" w:rsidP="000C2643"/>
    <w:p w:rsidR="000C2643" w:rsidRDefault="000C2643" w:rsidP="000C2643">
      <w:pPr>
        <w:rPr>
          <w:b/>
        </w:rPr>
      </w:pPr>
      <w:r>
        <w:rPr>
          <w:b/>
        </w:rPr>
        <w:t>S. 79</w:t>
      </w:r>
    </w:p>
    <w:p w:rsidR="000C2643" w:rsidRDefault="000C2643" w:rsidP="000C2643"/>
    <w:p w:rsidR="000C2643" w:rsidRPr="000C2643" w:rsidRDefault="000C2643" w:rsidP="000C2643">
      <w:r w:rsidRPr="000C2643">
        <w:rPr>
          <w:b/>
        </w:rPr>
        <w:t>Erbvertrag bei Beteiligung eines ausländischen Erblassers:</w:t>
      </w:r>
      <w:r w:rsidRPr="000C2643">
        <w:rPr>
          <w:rStyle w:val="Funotenzeichen"/>
        </w:rPr>
        <w:footnoteReference w:id="2"/>
      </w:r>
    </w:p>
    <w:p w:rsidR="000C2643" w:rsidRPr="000C2643" w:rsidRDefault="000C2643" w:rsidP="000C2643">
      <w:r w:rsidRPr="000C2643">
        <w:t xml:space="preserve">Ich, A, bin ausschließlich deutsche/r Staatsangehörige/r. Ich, B, bin ausschließlich … Staatsangehörige/r. Wir haben beide unseren gewöhnlichen Aufenthalt in Deutschland. Diesen wollen wir auch dauerhaft beibehalten. </w:t>
      </w:r>
    </w:p>
    <w:p w:rsidR="000C2643" w:rsidRPr="000C2643" w:rsidRDefault="000C2643" w:rsidP="000C2643">
      <w:r w:rsidRPr="000C2643">
        <w:t xml:space="preserve">Im Hinblick auf unsere unterschiedlichen Staatsangehörigkeiten treffen wir vorsorglich folgende Rechtswahl: </w:t>
      </w:r>
    </w:p>
    <w:p w:rsidR="000C2643" w:rsidRPr="000C2643" w:rsidRDefault="000C2643" w:rsidP="000C2643">
      <w:pPr>
        <w:pStyle w:val="Listenabsatz"/>
        <w:numPr>
          <w:ilvl w:val="0"/>
          <w:numId w:val="39"/>
        </w:numPr>
      </w:pPr>
      <w:r w:rsidRPr="000C2643">
        <w:t xml:space="preserve">Für die Wirksamkeit dieses Erbvertrags und dessen Bindungswirkung soll einheitlich das deutsche Recht als Staatsangehörigkeitsrecht des A gelten. Diese Rechtswahl vereinbaren wir, soweit rechtlich möglich, mit erbvertraglicher Bindungswirkung. </w:t>
      </w:r>
    </w:p>
    <w:p w:rsidR="000C2643" w:rsidRPr="000C2643" w:rsidRDefault="000C2643" w:rsidP="000C2643">
      <w:pPr>
        <w:pStyle w:val="Listenabsatz"/>
        <w:numPr>
          <w:ilvl w:val="0"/>
          <w:numId w:val="39"/>
        </w:numPr>
      </w:pPr>
      <w:r w:rsidRPr="000C2643">
        <w:t>Ich, A, wähle außerdem für die Rechtsnachfolge von Todes wegen in mein gesamtes Vermögen das deutsche Recht als mein Staatsangehörigkeitsrecht.</w:t>
      </w:r>
    </w:p>
    <w:p w:rsidR="000C2643" w:rsidRPr="000C2643" w:rsidRDefault="000C2643" w:rsidP="000C2643">
      <w:pPr>
        <w:pStyle w:val="Listenabsatz"/>
        <w:numPr>
          <w:ilvl w:val="0"/>
          <w:numId w:val="39"/>
        </w:numPr>
      </w:pPr>
      <w:r w:rsidRPr="000C2643">
        <w:t xml:space="preserve">Ich, B, wünsche keine Wahl meines derzeitigen Staatsangehörigkeitsrechts, so dass auch meine Verfügungen in diesem Erbvertrag auf dem deutschen Recht (als Recht des gewöhnlichen Aufenthaltsorts) beruhen. </w:t>
      </w:r>
    </w:p>
    <w:p w:rsidR="000C2643" w:rsidRPr="000C2643" w:rsidRDefault="000C2643" w:rsidP="000C2643">
      <w:r w:rsidRPr="000C2643">
        <w:t xml:space="preserve">Der Notar hat uns insbesondere auf Folgendes hingewiesen: </w:t>
      </w:r>
    </w:p>
    <w:p w:rsidR="000C2643" w:rsidRPr="000C2643" w:rsidRDefault="000C2643" w:rsidP="000C2643">
      <w:pPr>
        <w:pStyle w:val="Listenabsatz"/>
        <w:numPr>
          <w:ilvl w:val="0"/>
          <w:numId w:val="40"/>
        </w:numPr>
      </w:pPr>
      <w:r w:rsidRPr="000C2643">
        <w:t>Für die Rechtsnachfolge von Todes wegen von B kommt deutsches Recht nur zur Anwendung, wenn der gewöhnliche Aufenthaltsort zum Todeszeitpunkt noch unverändert in Deutschland liegt; wird dieser ins Ausland verlegt oder wird nachträglich ein ausländisches Staatsangehörigkeitsrecht gewählt, können wesentliche Ziele des Erbvertrags verfehlt werden.</w:t>
      </w:r>
    </w:p>
    <w:p w:rsidR="000C2643" w:rsidRDefault="000C2643" w:rsidP="000C2643">
      <w:pPr>
        <w:pStyle w:val="Listenabsatz"/>
        <w:numPr>
          <w:ilvl w:val="0"/>
          <w:numId w:val="40"/>
        </w:numPr>
      </w:pPr>
      <w:r w:rsidRPr="00885E00">
        <w:t xml:space="preserve">Der Notar muss ausländisches Recht nicht kennen und hat darüber auch nicht beraten, insbesondere auch nicht als inhaltliche Alternative zum deutschen Recht. Wir entlassen ihn insoweit aus jedweder Haftung.   </w:t>
      </w:r>
    </w:p>
    <w:p w:rsidR="000C2643" w:rsidRDefault="000C2643" w:rsidP="000C2643"/>
    <w:p w:rsidR="000C2643" w:rsidRPr="000C2643" w:rsidRDefault="000C2643" w:rsidP="000C2643">
      <w:pPr>
        <w:rPr>
          <w:b/>
        </w:rPr>
      </w:pPr>
      <w:r w:rsidRPr="000C2643">
        <w:rPr>
          <w:b/>
        </w:rPr>
        <w:t>S. 82</w:t>
      </w:r>
    </w:p>
    <w:p w:rsidR="000C2643" w:rsidRDefault="000C2643" w:rsidP="000C2643"/>
    <w:p w:rsidR="000C2643" w:rsidRPr="000C2643" w:rsidRDefault="000C2643" w:rsidP="000C2643">
      <w:r w:rsidRPr="000C2643">
        <w:rPr>
          <w:b/>
        </w:rPr>
        <w:t>Bindungswirkung einer Rechtswahl:</w:t>
      </w:r>
      <w:r w:rsidRPr="000C2643">
        <w:rPr>
          <w:rStyle w:val="Funotenzeichen"/>
        </w:rPr>
        <w:footnoteReference w:id="3"/>
      </w:r>
      <w:r w:rsidRPr="000C2643">
        <w:t xml:space="preserve"> </w:t>
      </w:r>
    </w:p>
    <w:p w:rsidR="000C2643" w:rsidRPr="000C2643" w:rsidRDefault="000C2643" w:rsidP="000C2643">
      <w:r w:rsidRPr="000C2643">
        <w:t xml:space="preserve">Ich, A, bin ausschließlich deutsche/r Staatsangehörige/r. Ich, B, bin ausschließlich … Staatsangehörige/r. Wir haben beide unseren gewöhnlichen Aufenthalt in Deutschland. Diesen wollen wir auch dauerhaft beibehalten. </w:t>
      </w:r>
    </w:p>
    <w:p w:rsidR="000C2643" w:rsidRPr="000C2643" w:rsidRDefault="000C2643" w:rsidP="000C2643">
      <w:r w:rsidRPr="000C2643">
        <w:lastRenderedPageBreak/>
        <w:t xml:space="preserve">Im Hinblick auf unsere unterschiedlichen Staatsangehörigkeiten treffen wir vorsorglich folgende erbvertraglich bindende Rechtswahl: </w:t>
      </w:r>
    </w:p>
    <w:p w:rsidR="000C2643" w:rsidRPr="000C2643" w:rsidRDefault="000C2643" w:rsidP="000C2643">
      <w:pPr>
        <w:pStyle w:val="Listenabsatz"/>
        <w:numPr>
          <w:ilvl w:val="0"/>
          <w:numId w:val="41"/>
        </w:numPr>
      </w:pPr>
      <w:r w:rsidRPr="000C2643">
        <w:t xml:space="preserve">Für die Wirksamkeit dieses Erbvertrags und dessen Bindungswirkung soll einheitlich das deutsche Recht als Staatsangehörigkeitsrecht des A gelten. </w:t>
      </w:r>
    </w:p>
    <w:p w:rsidR="000C2643" w:rsidRPr="000C2643" w:rsidRDefault="000C2643" w:rsidP="000C2643">
      <w:pPr>
        <w:pStyle w:val="Listenabsatz"/>
        <w:numPr>
          <w:ilvl w:val="0"/>
          <w:numId w:val="41"/>
        </w:numPr>
      </w:pPr>
      <w:r>
        <w:t>I</w:t>
      </w:r>
      <w:r w:rsidRPr="000C2643">
        <w:t>ch, A, wähle außerdem für die Rechtsnachfolge von Todes wegen in mein gesamtes Vermögen das deutsche Recht als mein Staatsangehörigkeitsrecht.</w:t>
      </w:r>
    </w:p>
    <w:p w:rsidR="000C2643" w:rsidRPr="000C2643" w:rsidRDefault="000C2643" w:rsidP="000C2643">
      <w:r w:rsidRPr="000C2643">
        <w:t xml:space="preserve">Ich, B, wünsche keine Wahl meines derzeitigen Staatsangehörigkeitsrechts, so dass auch meine Verfügungen in diesem Erbvertrag auf dem deutschen Recht (als Recht des gewöhnlichen Aufenthaltsorts) beruhen. </w:t>
      </w:r>
    </w:p>
    <w:p w:rsidR="000C2643" w:rsidRPr="000C2643" w:rsidRDefault="000C2643" w:rsidP="000C2643">
      <w:r w:rsidRPr="000C2643">
        <w:t xml:space="preserve">Der Notar hat uns insbesondere auf Folgendes hingewiesen: </w:t>
      </w:r>
    </w:p>
    <w:p w:rsidR="000C2643" w:rsidRPr="000C2643" w:rsidRDefault="000C2643" w:rsidP="000C2643">
      <w:pPr>
        <w:pStyle w:val="Listenabsatz"/>
        <w:numPr>
          <w:ilvl w:val="0"/>
          <w:numId w:val="42"/>
        </w:numPr>
      </w:pPr>
      <w:r w:rsidRPr="000C2643">
        <w:t>Für die Rechtsnachfolge von Todes wegen von B kommt deutsches Recht nur zur Anwendung, wenn der gewöhnliche Aufenthaltsort zum Todeszeitpunkt noch unverändert in Deutschland liegt; wird dieser ins Ausland verlegt oder wird nachträglich ein ausländisches Staatsangehörigkeitsrecht gewählt, können wesentliche Ziele des Erbvertrags verfehlt werden.</w:t>
      </w:r>
    </w:p>
    <w:p w:rsidR="000C2643" w:rsidRDefault="000C2643" w:rsidP="000C2643">
      <w:pPr>
        <w:pStyle w:val="Listenabsatz"/>
        <w:numPr>
          <w:ilvl w:val="0"/>
          <w:numId w:val="42"/>
        </w:numPr>
      </w:pPr>
      <w:r w:rsidRPr="00885E00">
        <w:t xml:space="preserve">Der Notar muss ausländisches Recht nicht kennen und hat darüber auch nicht beraten, insbesondere auch nicht als inhaltliche Alternative zum deutschen Recht. Wir entlassen ihn insoweit aus jedweder Haftung.   </w:t>
      </w:r>
    </w:p>
    <w:p w:rsidR="000C2643" w:rsidRDefault="000C2643" w:rsidP="000C2643"/>
    <w:p w:rsidR="000C2643" w:rsidRDefault="000C2643" w:rsidP="000C2643"/>
    <w:p w:rsidR="000C2643" w:rsidRDefault="000C2643" w:rsidP="000C2643">
      <w:pPr>
        <w:rPr>
          <w:b/>
        </w:rPr>
      </w:pPr>
      <w:r>
        <w:rPr>
          <w:b/>
        </w:rPr>
        <w:t>Wichtige Entscheidungen für die Praxis: BFH Steuerliche Bindungswirkung einer vertraglichen Kaufpreisaufteilung, m. Anm. von Dr. Jörg Ihle</w:t>
      </w:r>
    </w:p>
    <w:p w:rsidR="000C2643" w:rsidRDefault="000C2643" w:rsidP="000C2643">
      <w:pPr>
        <w:rPr>
          <w:b/>
        </w:rPr>
      </w:pPr>
    </w:p>
    <w:p w:rsidR="000C2643" w:rsidRDefault="000C2643" w:rsidP="000C2643">
      <w:pPr>
        <w:rPr>
          <w:b/>
        </w:rPr>
      </w:pPr>
      <w:r>
        <w:rPr>
          <w:b/>
        </w:rPr>
        <w:t>S. 97</w:t>
      </w:r>
    </w:p>
    <w:p w:rsidR="000C2643" w:rsidRPr="000C2643" w:rsidRDefault="000C2643" w:rsidP="000C2643">
      <w:pPr>
        <w:rPr>
          <w:b/>
        </w:rPr>
      </w:pPr>
      <w:r w:rsidRPr="000C2643">
        <w:rPr>
          <w:b/>
        </w:rPr>
        <w:t>Verteilung eines Gesamtkaufpreises auf mehrere erworbene Vermögensgegenstände im Grundstückskaufvertrag:</w:t>
      </w:r>
    </w:p>
    <w:p w:rsidR="000C2643" w:rsidRPr="000C2643" w:rsidRDefault="000C2643" w:rsidP="000C2643">
      <w:r w:rsidRPr="000C2643">
        <w:t>Der Kaufpreis beträgt € *** (in Worten: Euro ***).</w:t>
      </w:r>
    </w:p>
    <w:p w:rsidR="000C2643" w:rsidRPr="000C2643" w:rsidRDefault="000C2643" w:rsidP="000C2643">
      <w:r w:rsidRPr="000C2643">
        <w:t xml:space="preserve">Davon entfallen </w:t>
      </w:r>
    </w:p>
    <w:p w:rsidR="000C2643" w:rsidRPr="000C2643" w:rsidRDefault="000C2643" w:rsidP="000C2643">
      <w:pPr>
        <w:pStyle w:val="Listenabsatz"/>
        <w:numPr>
          <w:ilvl w:val="1"/>
          <w:numId w:val="39"/>
        </w:numPr>
        <w:tabs>
          <w:tab w:val="left" w:pos="851"/>
        </w:tabs>
        <w:ind w:left="851" w:hanging="425"/>
      </w:pPr>
      <w:r w:rsidRPr="000C2643">
        <w:t>auf das Gesamtgebäude ein Teilbetrag von € ***, davon wiederum</w:t>
      </w:r>
    </w:p>
    <w:p w:rsidR="000C2643" w:rsidRPr="000C2643" w:rsidRDefault="000C2643" w:rsidP="000C2643">
      <w:pPr>
        <w:pStyle w:val="Listenabsatz"/>
        <w:numPr>
          <w:ilvl w:val="2"/>
          <w:numId w:val="39"/>
        </w:numPr>
        <w:tabs>
          <w:tab w:val="left" w:pos="851"/>
        </w:tabs>
        <w:ind w:left="851" w:firstLine="0"/>
      </w:pPr>
      <w:r w:rsidRPr="000C2643">
        <w:t>auf die Mietwohnung im Erdgeschoss des Hauses ein Teilbetrag von € ***,</w:t>
      </w:r>
    </w:p>
    <w:p w:rsidR="000C2643" w:rsidRPr="000C2643" w:rsidRDefault="000C2643" w:rsidP="000C2643">
      <w:pPr>
        <w:pStyle w:val="Listenabsatz"/>
        <w:numPr>
          <w:ilvl w:val="2"/>
          <w:numId w:val="39"/>
        </w:numPr>
        <w:tabs>
          <w:tab w:val="left" w:pos="709"/>
        </w:tabs>
        <w:ind w:left="1418" w:hanging="567"/>
      </w:pPr>
      <w:r w:rsidRPr="000C2643">
        <w:t>auf die zu eigenen Wohnzwecken genutzte Wohnung im Obergeschoss des Hauses ein Teilbetrag von € ***,</w:t>
      </w:r>
    </w:p>
    <w:p w:rsidR="000C2643" w:rsidRPr="000C2643" w:rsidRDefault="000C2643" w:rsidP="000C2643">
      <w:pPr>
        <w:pStyle w:val="Listenabsatz"/>
        <w:numPr>
          <w:ilvl w:val="1"/>
          <w:numId w:val="39"/>
        </w:numPr>
        <w:tabs>
          <w:tab w:val="left" w:pos="851"/>
        </w:tabs>
        <w:ind w:left="851" w:hanging="425"/>
      </w:pPr>
      <w:r w:rsidRPr="000C2643">
        <w:t>auf den Grund und Boden ein Teilbetrag von € ***, davon wiederum</w:t>
      </w:r>
    </w:p>
    <w:p w:rsidR="000C2643" w:rsidRPr="000C2643" w:rsidRDefault="000C2643" w:rsidP="000C2643">
      <w:pPr>
        <w:pStyle w:val="Listenabsatz"/>
        <w:numPr>
          <w:ilvl w:val="2"/>
          <w:numId w:val="39"/>
        </w:numPr>
        <w:tabs>
          <w:tab w:val="left" w:pos="709"/>
        </w:tabs>
        <w:ind w:left="1418" w:hanging="567"/>
      </w:pPr>
      <w:r w:rsidRPr="000C2643">
        <w:t>auf den anteiligen Grund und Boden zu dem Gebäudeteil gemäß Ziffer 1a ein Teilbetrag von € ***,</w:t>
      </w:r>
    </w:p>
    <w:p w:rsidR="000C2643" w:rsidRPr="000C2643" w:rsidRDefault="000C2643" w:rsidP="000C2643">
      <w:pPr>
        <w:pStyle w:val="Listenabsatz"/>
        <w:numPr>
          <w:ilvl w:val="2"/>
          <w:numId w:val="39"/>
        </w:numPr>
        <w:tabs>
          <w:tab w:val="left" w:pos="709"/>
        </w:tabs>
        <w:ind w:left="1418" w:hanging="567"/>
      </w:pPr>
      <w:r w:rsidRPr="000C2643">
        <w:t>auf den anteiligen Grund und Boden zu dem Gebäudeteil gemäß Ziffer 1b ein Teilbetrag von € ***,</w:t>
      </w:r>
    </w:p>
    <w:p w:rsidR="000C2643" w:rsidRPr="000C2643" w:rsidRDefault="000C2643" w:rsidP="000C2643">
      <w:pPr>
        <w:pStyle w:val="Listenabsatz"/>
        <w:numPr>
          <w:ilvl w:val="1"/>
          <w:numId w:val="39"/>
        </w:numPr>
        <w:tabs>
          <w:tab w:val="left" w:pos="851"/>
        </w:tabs>
        <w:ind w:left="851" w:hanging="425"/>
      </w:pPr>
      <w:r w:rsidRPr="000C2643">
        <w:t>auf die Außenanlagen</w:t>
      </w:r>
      <w:r w:rsidRPr="000C2643">
        <w:rPr>
          <w:rStyle w:val="Funotenzeichen"/>
        </w:rPr>
        <w:footnoteReference w:id="4"/>
      </w:r>
      <w:r w:rsidRPr="000C2643">
        <w:t xml:space="preserve"> ein Teilbetrag von € … ,</w:t>
      </w:r>
    </w:p>
    <w:p w:rsidR="000C2643" w:rsidRPr="000C2643" w:rsidRDefault="000C2643" w:rsidP="000C2643">
      <w:pPr>
        <w:pStyle w:val="Listenabsatz"/>
        <w:numPr>
          <w:ilvl w:val="1"/>
          <w:numId w:val="39"/>
        </w:numPr>
        <w:tabs>
          <w:tab w:val="left" w:pos="851"/>
        </w:tabs>
        <w:ind w:left="851" w:hanging="425"/>
      </w:pPr>
      <w:r w:rsidRPr="000C2643">
        <w:t>auf die mitverkauften beweglichen Gegenstände ein Teilbetrag von € ***.</w:t>
      </w:r>
    </w:p>
    <w:p w:rsidR="000C2643" w:rsidRPr="000C2643" w:rsidRDefault="000C2643" w:rsidP="000C2643">
      <w:r w:rsidRPr="00E55EE0">
        <w:t xml:space="preserve">Der Verkäufer übernimmt für die </w:t>
      </w:r>
      <w:r>
        <w:t>steuerliche Anerkennung der vorstehend vereinbarten</w:t>
      </w:r>
      <w:r w:rsidRPr="00E55EE0">
        <w:t xml:space="preserve"> Aufteilung des Kaufpreises keinerlei Haftung.</w:t>
      </w:r>
    </w:p>
    <w:sectPr w:rsidR="000C2643" w:rsidRPr="000C26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0B" w:rsidRDefault="0081460B">
      <w:r>
        <w:separator/>
      </w:r>
    </w:p>
  </w:endnote>
  <w:endnote w:type="continuationSeparator" w:id="0">
    <w:p w:rsidR="0081460B" w:rsidRDefault="0081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0B" w:rsidRDefault="0081460B">
      <w:r>
        <w:separator/>
      </w:r>
    </w:p>
  </w:footnote>
  <w:footnote w:type="continuationSeparator" w:id="0">
    <w:p w:rsidR="0081460B" w:rsidRDefault="0081460B">
      <w:r>
        <w:continuationSeparator/>
      </w:r>
    </w:p>
  </w:footnote>
  <w:footnote w:id="1">
    <w:p w:rsidR="000C2643" w:rsidRDefault="000C2643" w:rsidP="000C2643">
      <w:pPr>
        <w:pStyle w:val="Funotentext"/>
      </w:pPr>
      <w:r>
        <w:rPr>
          <w:rStyle w:val="Funotenzeichen"/>
        </w:rPr>
        <w:footnoteRef/>
      </w:r>
      <w:r>
        <w:tab/>
        <w:t xml:space="preserve">Zum Formulierungsvorschlag siehe </w:t>
      </w:r>
      <w:r w:rsidRPr="004D36FA">
        <w:rPr>
          <w:rStyle w:val="99ZFName"/>
        </w:rPr>
        <w:t>Odersky</w:t>
      </w:r>
      <w:r>
        <w:t xml:space="preserve">, </w:t>
      </w:r>
      <w:r w:rsidRPr="00E32124">
        <w:rPr>
          <w:i/>
        </w:rPr>
        <w:t>notar</w:t>
      </w:r>
      <w:r>
        <w:t xml:space="preserve"> 2013, 3, 7.</w:t>
      </w:r>
    </w:p>
  </w:footnote>
  <w:footnote w:id="2">
    <w:p w:rsidR="000C2643" w:rsidRDefault="000C2643" w:rsidP="000C2643">
      <w:pPr>
        <w:pStyle w:val="Funotentext"/>
      </w:pPr>
      <w:r>
        <w:rPr>
          <w:rStyle w:val="Funotenzeichen"/>
        </w:rPr>
        <w:footnoteRef/>
      </w:r>
      <w:r>
        <w:tab/>
        <w:t xml:space="preserve">Vgl. dazu </w:t>
      </w:r>
      <w:r w:rsidRPr="004D36FA">
        <w:rPr>
          <w:rStyle w:val="99ZFName"/>
        </w:rPr>
        <w:t>Odersky</w:t>
      </w:r>
      <w:r>
        <w:t xml:space="preserve">, </w:t>
      </w:r>
      <w:r w:rsidRPr="00E32124">
        <w:rPr>
          <w:i/>
        </w:rPr>
        <w:t>notar</w:t>
      </w:r>
      <w:r>
        <w:t xml:space="preserve"> 2013, 3, 9.</w:t>
      </w:r>
    </w:p>
  </w:footnote>
  <w:footnote w:id="3">
    <w:p w:rsidR="000C2643" w:rsidRDefault="000C2643" w:rsidP="000C2643">
      <w:pPr>
        <w:pStyle w:val="Funotentext"/>
      </w:pPr>
      <w:r>
        <w:rPr>
          <w:rStyle w:val="Funotenzeichen"/>
        </w:rPr>
        <w:footnoteRef/>
      </w:r>
      <w:r>
        <w:tab/>
        <w:t xml:space="preserve">Zu diesem Formulierungsvorschlag vgl. </w:t>
      </w:r>
      <w:r w:rsidRPr="004D36FA">
        <w:rPr>
          <w:rStyle w:val="99ZFName"/>
        </w:rPr>
        <w:t>Odersky</w:t>
      </w:r>
      <w:r>
        <w:t>,</w:t>
      </w:r>
      <w:r w:rsidRPr="00A45ED1">
        <w:rPr>
          <w:i/>
        </w:rPr>
        <w:t xml:space="preserve"> notar </w:t>
      </w:r>
      <w:r>
        <w:t>2015, 183, 184.</w:t>
      </w:r>
    </w:p>
  </w:footnote>
  <w:footnote w:id="4">
    <w:p w:rsidR="000C2643" w:rsidRPr="00D82153" w:rsidRDefault="000C2643" w:rsidP="000C2643">
      <w:pPr>
        <w:pStyle w:val="Funotentext"/>
      </w:pPr>
      <w:r>
        <w:rPr>
          <w:rStyle w:val="Funotenzeichen"/>
        </w:rPr>
        <w:footnoteRef/>
      </w:r>
      <w:r>
        <w:tab/>
        <w:t xml:space="preserve">Einkommensteuerrechtlich werden Außenanlagen als unselbständige Gebäudeteile behandelt, wenn sie mit dem Gebäude in einem einheitlichen Nutzungs- und Funktionszusammenhang stehen. Fehlt ein solcher Zusammenhang, wie z. B. bei offenen Schwimmbecken und Gartenanlagen, die die Mieter mitbenutzen dürfen, werden Außenanlagen als selbständige unbewegliche Wirtschaftsgüter qualifiziert, die gemäß § 7 Abs. 1 EStG über den Zeitraum ihrer Nutzungsdauer abgeschrieben werden können, vgl. dazu </w:t>
      </w:r>
      <w:r w:rsidRPr="00695230">
        <w:rPr>
          <w:rStyle w:val="99ZFName"/>
        </w:rPr>
        <w:t>Schmidt/</w:t>
      </w:r>
      <w:proofErr w:type="spellStart"/>
      <w:r w:rsidRPr="00695230">
        <w:rPr>
          <w:rStyle w:val="99ZFName"/>
        </w:rPr>
        <w:t>Kulosa</w:t>
      </w:r>
      <w:proofErr w:type="spellEnd"/>
      <w:r>
        <w:t xml:space="preserve">, EStG, 34. Aufl. 2015, § 7 </w:t>
      </w:r>
      <w:proofErr w:type="spellStart"/>
      <w:r>
        <w:t>Rn</w:t>
      </w:r>
      <w:proofErr w:type="spellEnd"/>
      <w:r>
        <w:t> 28.</w:t>
      </w:r>
    </w:p>
    <w:p w:rsidR="000C2643" w:rsidRDefault="000C2643" w:rsidP="000C2643">
      <w:pPr>
        <w:pStyle w:val="Funoten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FCF29C6"/>
    <w:multiLevelType w:val="hybridMultilevel"/>
    <w:tmpl w:val="BBE28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1C45C0"/>
    <w:multiLevelType w:val="hybridMultilevel"/>
    <w:tmpl w:val="1084D9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EC4E6F"/>
    <w:multiLevelType w:val="hybridMultilevel"/>
    <w:tmpl w:val="830E1F82"/>
    <w:lvl w:ilvl="0" w:tplc="04070001">
      <w:start w:val="1"/>
      <w:numFmt w:val="bullet"/>
      <w:lvlText w:val=""/>
      <w:lvlJc w:val="left"/>
      <w:pPr>
        <w:tabs>
          <w:tab w:val="num" w:pos="851"/>
        </w:tabs>
        <w:ind w:left="851" w:hanging="567"/>
      </w:pPr>
      <w:rPr>
        <w:rFonts w:ascii="Symbol" w:hAnsi="Symbol" w:hint="default"/>
        <w:b/>
        <w:i w:val="0"/>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15:restartNumberingAfterBreak="0">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404A8"/>
    <w:multiLevelType w:val="hybridMultilevel"/>
    <w:tmpl w:val="19E857C6"/>
    <w:lvl w:ilvl="0" w:tplc="04070001">
      <w:start w:val="1"/>
      <w:numFmt w:val="bullet"/>
      <w:lvlText w:val=""/>
      <w:lvlJc w:val="left"/>
      <w:pPr>
        <w:ind w:left="720" w:hanging="360"/>
      </w:pPr>
      <w:rPr>
        <w:rFonts w:ascii="Symbol" w:hAnsi="Symbol" w:hint="default"/>
      </w:rPr>
    </w:lvl>
    <w:lvl w:ilvl="1" w:tplc="E2206086">
      <w:start w:val="1"/>
      <w:numFmt w:val="decimal"/>
      <w:lvlText w:val="%2."/>
      <w:lvlJc w:val="left"/>
      <w:pPr>
        <w:ind w:left="1785" w:hanging="705"/>
      </w:pPr>
      <w:rPr>
        <w:rFonts w:hint="default"/>
      </w:rPr>
    </w:lvl>
    <w:lvl w:ilvl="2" w:tplc="A76A3D56">
      <w:start w:val="1"/>
      <w:numFmt w:val="lowerLetter"/>
      <w:lvlText w:val="%3)"/>
      <w:lvlJc w:val="left"/>
      <w:pPr>
        <w:ind w:left="2685" w:hanging="705"/>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2C1D2A"/>
    <w:multiLevelType w:val="hybridMultilevel"/>
    <w:tmpl w:val="137E13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3" w15:restartNumberingAfterBreak="0">
    <w:nsid w:val="303105B3"/>
    <w:multiLevelType w:val="hybridMultilevel"/>
    <w:tmpl w:val="84AEA5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0082B"/>
    <w:multiLevelType w:val="hybridMultilevel"/>
    <w:tmpl w:val="1770AD38"/>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20"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EFC7BE4"/>
    <w:multiLevelType w:val="hybridMultilevel"/>
    <w:tmpl w:val="50D8F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E4276"/>
    <w:multiLevelType w:val="hybridMultilevel"/>
    <w:tmpl w:val="B1186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3925F9"/>
    <w:multiLevelType w:val="hybridMultilevel"/>
    <w:tmpl w:val="F3CEDE72"/>
    <w:lvl w:ilvl="0" w:tplc="04070001">
      <w:start w:val="1"/>
      <w:numFmt w:val="bullet"/>
      <w:lvlText w:val=""/>
      <w:lvlJc w:val="left"/>
      <w:pPr>
        <w:tabs>
          <w:tab w:val="num" w:pos="851"/>
        </w:tabs>
        <w:ind w:left="851" w:hanging="567"/>
      </w:pPr>
      <w:rPr>
        <w:rFonts w:ascii="Symbol" w:hAnsi="Symbol" w:hint="default"/>
        <w:b/>
        <w:i w:val="0"/>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21405"/>
    <w:multiLevelType w:val="hybridMultilevel"/>
    <w:tmpl w:val="75663C96"/>
    <w:lvl w:ilvl="0" w:tplc="04070001">
      <w:start w:val="1"/>
      <w:numFmt w:val="bullet"/>
      <w:pStyle w:val="10Formulierungsvorschlag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4F436F"/>
    <w:multiLevelType w:val="hybridMultilevel"/>
    <w:tmpl w:val="82A0C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6" w15:restartNumberingAfterBreak="0">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8"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28"/>
  </w:num>
  <w:num w:numId="4">
    <w:abstractNumId w:val="2"/>
  </w:num>
  <w:num w:numId="5">
    <w:abstractNumId w:val="23"/>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32"/>
  </w:num>
  <w:num w:numId="10">
    <w:abstractNumId w:val="16"/>
  </w:num>
  <w:num w:numId="11">
    <w:abstractNumId w:val="18"/>
  </w:num>
  <w:num w:numId="12">
    <w:abstractNumId w:val="38"/>
  </w:num>
  <w:num w:numId="13">
    <w:abstractNumId w:val="11"/>
  </w:num>
  <w:num w:numId="14">
    <w:abstractNumId w:val="31"/>
  </w:num>
  <w:num w:numId="15">
    <w:abstractNumId w:val="8"/>
  </w:num>
  <w:num w:numId="16">
    <w:abstractNumId w:val="36"/>
  </w:num>
  <w:num w:numId="17">
    <w:abstractNumId w:val="29"/>
  </w:num>
  <w:num w:numId="18">
    <w:abstractNumId w:val="6"/>
  </w:num>
  <w:num w:numId="19">
    <w:abstractNumId w:val="19"/>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5"/>
  </w:num>
  <w:num w:numId="23">
    <w:abstractNumId w:val="15"/>
  </w:num>
  <w:num w:numId="24">
    <w:abstractNumId w:val="12"/>
  </w:num>
  <w:num w:numId="25">
    <w:abstractNumId w:val="26"/>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7"/>
  </w:num>
  <w:num w:numId="30">
    <w:abstractNumId w:val="37"/>
  </w:num>
  <w:num w:numId="31">
    <w:abstractNumId w:val="7"/>
  </w:num>
  <w:num w:numId="32">
    <w:abstractNumId w:val="17"/>
  </w:num>
  <w:num w:numId="33">
    <w:abstractNumId w:val="34"/>
  </w:num>
  <w:num w:numId="34">
    <w:abstractNumId w:val="5"/>
  </w:num>
  <w:num w:numId="35">
    <w:abstractNumId w:val="22"/>
  </w:num>
  <w:num w:numId="36">
    <w:abstractNumId w:val="30"/>
  </w:num>
  <w:num w:numId="37">
    <w:abstractNumId w:val="13"/>
  </w:num>
  <w:num w:numId="38">
    <w:abstractNumId w:val="10"/>
  </w:num>
  <w:num w:numId="39">
    <w:abstractNumId w:val="9"/>
  </w:num>
  <w:num w:numId="40">
    <w:abstractNumId w:val="3"/>
  </w:num>
  <w:num w:numId="41">
    <w:abstractNumId w:val="25"/>
  </w:num>
  <w:num w:numId="42">
    <w:abstractNumId w:val="3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62F77"/>
    <w:rsid w:val="000A4B47"/>
    <w:rsid w:val="000C2643"/>
    <w:rsid w:val="000E5ACA"/>
    <w:rsid w:val="001004E1"/>
    <w:rsid w:val="00126FD6"/>
    <w:rsid w:val="001302F1"/>
    <w:rsid w:val="00190BDB"/>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F0BC2"/>
    <w:rsid w:val="003F39B4"/>
    <w:rsid w:val="00414052"/>
    <w:rsid w:val="004210ED"/>
    <w:rsid w:val="00476086"/>
    <w:rsid w:val="0049193A"/>
    <w:rsid w:val="00492155"/>
    <w:rsid w:val="00494E87"/>
    <w:rsid w:val="0049511B"/>
    <w:rsid w:val="004E159D"/>
    <w:rsid w:val="004E370E"/>
    <w:rsid w:val="004F167E"/>
    <w:rsid w:val="005140FA"/>
    <w:rsid w:val="005219C1"/>
    <w:rsid w:val="00527A21"/>
    <w:rsid w:val="005300BF"/>
    <w:rsid w:val="00541ED4"/>
    <w:rsid w:val="0055272E"/>
    <w:rsid w:val="005C150D"/>
    <w:rsid w:val="005C3571"/>
    <w:rsid w:val="005E5362"/>
    <w:rsid w:val="00600150"/>
    <w:rsid w:val="0068525A"/>
    <w:rsid w:val="00687985"/>
    <w:rsid w:val="006B4724"/>
    <w:rsid w:val="006C0D6C"/>
    <w:rsid w:val="006C704B"/>
    <w:rsid w:val="006D561F"/>
    <w:rsid w:val="006F6519"/>
    <w:rsid w:val="00705899"/>
    <w:rsid w:val="00733622"/>
    <w:rsid w:val="007412EF"/>
    <w:rsid w:val="007429B0"/>
    <w:rsid w:val="00772B7C"/>
    <w:rsid w:val="00790FC4"/>
    <w:rsid w:val="007A02EC"/>
    <w:rsid w:val="007A0E79"/>
    <w:rsid w:val="007A6439"/>
    <w:rsid w:val="0081460B"/>
    <w:rsid w:val="00821317"/>
    <w:rsid w:val="0083305E"/>
    <w:rsid w:val="00834E9C"/>
    <w:rsid w:val="00842869"/>
    <w:rsid w:val="0085793A"/>
    <w:rsid w:val="00864731"/>
    <w:rsid w:val="008C097F"/>
    <w:rsid w:val="008E1374"/>
    <w:rsid w:val="0090762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A10AD"/>
    <w:rsid w:val="00BF1411"/>
    <w:rsid w:val="00C03FEF"/>
    <w:rsid w:val="00C140CB"/>
    <w:rsid w:val="00C15D2A"/>
    <w:rsid w:val="00C25EBC"/>
    <w:rsid w:val="00C315E0"/>
    <w:rsid w:val="00CC1C05"/>
    <w:rsid w:val="00CC5CE3"/>
    <w:rsid w:val="00CC7AAD"/>
    <w:rsid w:val="00CF4FB5"/>
    <w:rsid w:val="00D35965"/>
    <w:rsid w:val="00D54FD3"/>
    <w:rsid w:val="00D56A2A"/>
    <w:rsid w:val="00D664ED"/>
    <w:rsid w:val="00D7729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39914"/>
  <w15:docId w15:val="{63F9A3D8-5E78-4449-8F5B-1DF44BB4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uiPriority w:val="99"/>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uiPriority w:val="99"/>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uiPriority w:val="99"/>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 w:type="paragraph" w:customStyle="1" w:styleId="10FormulierungsvorschlagList">
    <w:name w:val="10 Formulierungsvorschlag List"/>
    <w:basedOn w:val="10FormulierungsvorschlagListe"/>
    <w:uiPriority w:val="99"/>
    <w:rsid w:val="000C2643"/>
    <w:pPr>
      <w:numPr>
        <w:numId w:val="42"/>
      </w:numPr>
      <w:tabs>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D667-AE20-4B76-B39B-20C77680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2014-04-16T11:53:00Z</cp:lastPrinted>
  <dcterms:created xsi:type="dcterms:W3CDTF">2016-03-02T11:26:00Z</dcterms:created>
  <dcterms:modified xsi:type="dcterms:W3CDTF">2023-03-15T11:58:00Z</dcterms:modified>
</cp:coreProperties>
</file>