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CD" w:rsidRDefault="004158CD">
      <w:pPr>
        <w:spacing w:line="320" w:lineRule="exact"/>
        <w:jc w:val="both"/>
        <w:rPr>
          <w:sz w:val="26"/>
        </w:rPr>
      </w:pPr>
    </w:p>
    <w:tbl>
      <w:tblPr>
        <w:tblW w:w="8943" w:type="dxa"/>
        <w:tblInd w:w="-38" w:type="dxa"/>
        <w:tblCellMar>
          <w:left w:w="70" w:type="dxa"/>
          <w:right w:w="70" w:type="dxa"/>
        </w:tblCellMar>
        <w:tblLook w:val="0000" w:firstRow="0" w:lastRow="0" w:firstColumn="0" w:lastColumn="0" w:noHBand="0" w:noVBand="0"/>
      </w:tblPr>
      <w:tblGrid>
        <w:gridCol w:w="38"/>
        <w:gridCol w:w="4030"/>
        <w:gridCol w:w="9"/>
        <w:gridCol w:w="426"/>
        <w:gridCol w:w="105"/>
        <w:gridCol w:w="3580"/>
        <w:gridCol w:w="613"/>
        <w:gridCol w:w="142"/>
      </w:tblGrid>
      <w:tr w:rsidR="004158CD" w:rsidTr="001035B2">
        <w:trPr>
          <w:gridBefore w:val="1"/>
          <w:wBefore w:w="38" w:type="dxa"/>
        </w:trPr>
        <w:tc>
          <w:tcPr>
            <w:tcW w:w="4030" w:type="dxa"/>
          </w:tcPr>
          <w:p w:rsidR="004158CD" w:rsidRDefault="004158CD">
            <w:pPr>
              <w:spacing w:line="320" w:lineRule="exact"/>
              <w:jc w:val="both"/>
              <w:rPr>
                <w:b/>
                <w:sz w:val="26"/>
              </w:rPr>
            </w:pPr>
            <w:r>
              <w:rPr>
                <w:b/>
                <w:sz w:val="26"/>
              </w:rPr>
              <w:t>Schiedsklausel Gesellschaftsrecht</w:t>
            </w:r>
          </w:p>
        </w:tc>
        <w:tc>
          <w:tcPr>
            <w:tcW w:w="540" w:type="dxa"/>
            <w:gridSpan w:val="3"/>
          </w:tcPr>
          <w:p w:rsidR="004158CD" w:rsidRDefault="004158CD" w:rsidP="006275CD">
            <w:pPr>
              <w:spacing w:line="320" w:lineRule="exact"/>
              <w:jc w:val="both"/>
              <w:rPr>
                <w:b/>
                <w:sz w:val="26"/>
              </w:rPr>
            </w:pPr>
          </w:p>
        </w:tc>
        <w:tc>
          <w:tcPr>
            <w:tcW w:w="4335" w:type="dxa"/>
            <w:gridSpan w:val="3"/>
          </w:tcPr>
          <w:p w:rsidR="004158CD" w:rsidRDefault="004158CD" w:rsidP="006275CD">
            <w:pPr>
              <w:spacing w:line="320" w:lineRule="exact"/>
              <w:jc w:val="both"/>
              <w:rPr>
                <w:b/>
                <w:sz w:val="26"/>
              </w:rPr>
            </w:pPr>
            <w:r>
              <w:rPr>
                <w:b/>
                <w:sz w:val="26"/>
              </w:rPr>
              <w:t>Arbitration Clause – Corporate Law</w:t>
            </w:r>
          </w:p>
        </w:tc>
      </w:tr>
      <w:tr w:rsidR="006275CD" w:rsidRPr="002313F8" w:rsidTr="001035B2">
        <w:tblPrEx>
          <w:tblCellMar>
            <w:left w:w="108" w:type="dxa"/>
            <w:right w:w="108" w:type="dxa"/>
          </w:tblCellMar>
        </w:tblPrEx>
        <w:trPr>
          <w:gridAfter w:val="1"/>
          <w:wAfter w:w="142" w:type="dxa"/>
        </w:trPr>
        <w:tc>
          <w:tcPr>
            <w:tcW w:w="4077" w:type="dxa"/>
            <w:gridSpan w:val="3"/>
          </w:tcPr>
          <w:p w:rsidR="006275CD" w:rsidRDefault="006275CD" w:rsidP="004D7D19">
            <w:pPr>
              <w:spacing w:line="320" w:lineRule="exact"/>
              <w:jc w:val="both"/>
              <w:rPr>
                <w:b/>
                <w:sz w:val="26"/>
              </w:rPr>
            </w:pPr>
          </w:p>
          <w:p w:rsidR="004D7D19" w:rsidRPr="004D7D19" w:rsidRDefault="004D7D19" w:rsidP="004D7D19">
            <w:pPr>
              <w:spacing w:line="320" w:lineRule="exact"/>
              <w:jc w:val="both"/>
              <w:rPr>
                <w:sz w:val="26"/>
              </w:rPr>
            </w:pPr>
            <w:r w:rsidRPr="006275CD">
              <w:rPr>
                <w:b/>
                <w:sz w:val="26"/>
              </w:rPr>
              <w:t>Beschlussmängelstreitigkeiten u</w:t>
            </w:r>
            <w:r w:rsidRPr="006275CD">
              <w:rPr>
                <w:b/>
                <w:sz w:val="26"/>
              </w:rPr>
              <w:t>m</w:t>
            </w:r>
            <w:r w:rsidRPr="006275CD">
              <w:rPr>
                <w:b/>
                <w:sz w:val="26"/>
              </w:rPr>
              <w:t>fassende Schiedsklausel in Gesel</w:t>
            </w:r>
            <w:r w:rsidRPr="006275CD">
              <w:rPr>
                <w:b/>
                <w:sz w:val="26"/>
              </w:rPr>
              <w:t>l</w:t>
            </w:r>
            <w:r w:rsidRPr="006275CD">
              <w:rPr>
                <w:b/>
                <w:sz w:val="26"/>
              </w:rPr>
              <w:t>schaftsverträgen:</w:t>
            </w:r>
          </w:p>
          <w:p w:rsidR="006275CD" w:rsidRDefault="006275CD" w:rsidP="004D7D19">
            <w:pPr>
              <w:spacing w:line="320" w:lineRule="exact"/>
              <w:jc w:val="both"/>
              <w:rPr>
                <w:sz w:val="26"/>
              </w:rPr>
            </w:pPr>
          </w:p>
          <w:p w:rsidR="004D7D19" w:rsidRPr="004D7D19" w:rsidRDefault="004D7D19" w:rsidP="00415C11">
            <w:pPr>
              <w:spacing w:line="320" w:lineRule="exact"/>
              <w:jc w:val="both"/>
              <w:rPr>
                <w:sz w:val="26"/>
              </w:rPr>
            </w:pPr>
            <w:r w:rsidRPr="004D7D19">
              <w:rPr>
                <w:sz w:val="26"/>
              </w:rPr>
              <w:t xml:space="preserve">Alle Streitigkeiten, die zwischen Gesellschaftern der Gesellschaft </w:t>
            </w:r>
            <w:r w:rsidRPr="004D7D19">
              <w:rPr>
                <w:sz w:val="26"/>
              </w:rPr>
              <w:t>o</w:t>
            </w:r>
            <w:r w:rsidRPr="004D7D19">
              <w:rPr>
                <w:sz w:val="26"/>
              </w:rPr>
              <w:t>der zwischen Gesellschaftern und der Gesellschaft und/oder ihren O</w:t>
            </w:r>
            <w:r w:rsidRPr="004D7D19">
              <w:rPr>
                <w:sz w:val="26"/>
              </w:rPr>
              <w:t>r</w:t>
            </w:r>
            <w:r w:rsidRPr="004D7D19">
              <w:rPr>
                <w:sz w:val="26"/>
              </w:rPr>
              <w:t>ganen in Bezug auf Rechtsverhäl</w:t>
            </w:r>
            <w:r w:rsidRPr="004D7D19">
              <w:rPr>
                <w:sz w:val="26"/>
              </w:rPr>
              <w:t>t</w:t>
            </w:r>
            <w:r w:rsidRPr="004D7D19">
              <w:rPr>
                <w:sz w:val="26"/>
              </w:rPr>
              <w:t>nisse entstanden sind oder künftig entstehen, die – Beschlussmänge</w:t>
            </w:r>
            <w:r w:rsidRPr="004D7D19">
              <w:rPr>
                <w:sz w:val="26"/>
              </w:rPr>
              <w:t>l</w:t>
            </w:r>
            <w:r w:rsidRPr="004D7D19">
              <w:rPr>
                <w:sz w:val="26"/>
              </w:rPr>
              <w:t>streitigkeiten eingeschlossen – im weitesten Sinne das Gesellschaft</w:t>
            </w:r>
            <w:r w:rsidRPr="004D7D19">
              <w:rPr>
                <w:sz w:val="26"/>
              </w:rPr>
              <w:t>s</w:t>
            </w:r>
            <w:r w:rsidRPr="004D7D19">
              <w:rPr>
                <w:sz w:val="26"/>
              </w:rPr>
              <w:t>verhältnis betreffen, werden unter Ausschluss des Rechtsweges zu den staatlichen Gerichten der Entsche</w:t>
            </w:r>
            <w:r w:rsidRPr="004D7D19">
              <w:rPr>
                <w:sz w:val="26"/>
              </w:rPr>
              <w:t>i</w:t>
            </w:r>
            <w:r w:rsidRPr="004D7D19">
              <w:rPr>
                <w:sz w:val="26"/>
              </w:rPr>
              <w:t>dung des Schlichtungs- und Schiedsgerichtshofs Deutscher Not</w:t>
            </w:r>
            <w:r w:rsidRPr="004D7D19">
              <w:rPr>
                <w:sz w:val="26"/>
              </w:rPr>
              <w:t>a</w:t>
            </w:r>
            <w:r w:rsidRPr="004D7D19">
              <w:rPr>
                <w:sz w:val="26"/>
              </w:rPr>
              <w:t xml:space="preserve">re </w:t>
            </w:r>
            <w:r w:rsidR="00415C11">
              <w:rPr>
                <w:sz w:val="26"/>
              </w:rPr>
              <w:t xml:space="preserve">- </w:t>
            </w:r>
            <w:r w:rsidRPr="004D7D19">
              <w:rPr>
                <w:sz w:val="26"/>
              </w:rPr>
              <w:t xml:space="preserve">SGH (nachstehend der „SGH“) unterworfen. </w:t>
            </w:r>
          </w:p>
        </w:tc>
        <w:tc>
          <w:tcPr>
            <w:tcW w:w="426" w:type="dxa"/>
          </w:tcPr>
          <w:p w:rsidR="004D7D19" w:rsidRPr="004D7D19" w:rsidRDefault="004D7D19" w:rsidP="004D7D19">
            <w:pPr>
              <w:spacing w:line="320" w:lineRule="exact"/>
              <w:jc w:val="both"/>
              <w:rPr>
                <w:sz w:val="26"/>
              </w:rPr>
            </w:pPr>
          </w:p>
        </w:tc>
        <w:tc>
          <w:tcPr>
            <w:tcW w:w="4298" w:type="dxa"/>
            <w:gridSpan w:val="3"/>
          </w:tcPr>
          <w:p w:rsidR="001035B2" w:rsidRDefault="001035B2" w:rsidP="006275CD">
            <w:pPr>
              <w:spacing w:line="320" w:lineRule="exact"/>
              <w:jc w:val="both"/>
              <w:rPr>
                <w:b/>
                <w:sz w:val="26"/>
              </w:rPr>
            </w:pPr>
          </w:p>
          <w:p w:rsidR="004D7D19" w:rsidRPr="001035B2" w:rsidRDefault="004D7D19" w:rsidP="006275CD">
            <w:pPr>
              <w:spacing w:line="320" w:lineRule="exact"/>
              <w:jc w:val="both"/>
              <w:rPr>
                <w:b/>
                <w:sz w:val="26"/>
                <w:lang w:val="en-US"/>
              </w:rPr>
            </w:pPr>
            <w:r w:rsidRPr="001035B2">
              <w:rPr>
                <w:b/>
                <w:sz w:val="26"/>
                <w:lang w:val="en-US"/>
              </w:rPr>
              <w:t>Resolution conflicts comprehensive arbitration clause included in art</w:t>
            </w:r>
            <w:r w:rsidRPr="001035B2">
              <w:rPr>
                <w:b/>
                <w:sz w:val="26"/>
                <w:lang w:val="en-US"/>
              </w:rPr>
              <w:t>i</w:t>
            </w:r>
            <w:r w:rsidRPr="001035B2">
              <w:rPr>
                <w:b/>
                <w:sz w:val="26"/>
                <w:lang w:val="en-US"/>
              </w:rPr>
              <w:t>cles of association:</w:t>
            </w:r>
          </w:p>
          <w:p w:rsidR="006275CD" w:rsidRPr="001035B2" w:rsidRDefault="006275CD" w:rsidP="006275CD">
            <w:pPr>
              <w:spacing w:line="320" w:lineRule="exact"/>
              <w:jc w:val="both"/>
              <w:rPr>
                <w:sz w:val="26"/>
                <w:lang w:val="en-US"/>
              </w:rPr>
            </w:pPr>
          </w:p>
          <w:p w:rsidR="004D7D19" w:rsidRPr="006275CD" w:rsidRDefault="004D7D19" w:rsidP="002313F8">
            <w:pPr>
              <w:spacing w:line="320" w:lineRule="exact"/>
              <w:jc w:val="both"/>
              <w:rPr>
                <w:sz w:val="26"/>
                <w:lang w:val="en-US"/>
              </w:rPr>
            </w:pPr>
            <w:r w:rsidRPr="006275CD">
              <w:rPr>
                <w:sz w:val="26"/>
                <w:lang w:val="en-US"/>
              </w:rPr>
              <w:t>All disputes that have arisen or will arise among shareholders of the Co</w:t>
            </w:r>
            <w:r w:rsidRPr="006275CD">
              <w:rPr>
                <w:sz w:val="26"/>
                <w:lang w:val="en-US"/>
              </w:rPr>
              <w:t>m</w:t>
            </w:r>
            <w:r w:rsidRPr="006275CD">
              <w:rPr>
                <w:sz w:val="26"/>
                <w:lang w:val="en-US"/>
              </w:rPr>
              <w:t>pany or between shareholders and the Company and/or its corporate bodies with regard to legal relationships, r</w:t>
            </w:r>
            <w:r w:rsidRPr="006275CD">
              <w:rPr>
                <w:sz w:val="26"/>
                <w:lang w:val="en-US"/>
              </w:rPr>
              <w:t>e</w:t>
            </w:r>
            <w:r w:rsidRPr="006275CD">
              <w:rPr>
                <w:sz w:val="26"/>
                <w:lang w:val="en-US"/>
              </w:rPr>
              <w:t xml:space="preserve">ferring to the corporate relationship in the widest possible meaning, including but not limited to disputes on the avoidance of shareholders’ resolutions, shall be subject to the jurisdiction of the Mediation and Arbitration Court of German Notaries </w:t>
            </w:r>
            <w:r w:rsidR="002313F8">
              <w:rPr>
                <w:sz w:val="26"/>
                <w:lang w:val="en-US"/>
              </w:rPr>
              <w:t xml:space="preserve">- </w:t>
            </w:r>
            <w:r w:rsidRPr="006275CD">
              <w:rPr>
                <w:sz w:val="26"/>
                <w:lang w:val="en-US"/>
              </w:rPr>
              <w:t>SGH</w:t>
            </w:r>
            <w:bookmarkStart w:id="0" w:name="_GoBack"/>
            <w:bookmarkEnd w:id="0"/>
            <w:r w:rsidRPr="006275CD">
              <w:rPr>
                <w:sz w:val="26"/>
                <w:lang w:val="en-US"/>
              </w:rPr>
              <w:t xml:space="preserve"> (hereinafter referred to as the “SGH”). </w:t>
            </w:r>
          </w:p>
        </w:tc>
      </w:tr>
      <w:tr w:rsidR="004D7D19" w:rsidRPr="002313F8" w:rsidTr="001035B2">
        <w:tblPrEx>
          <w:tblCellMar>
            <w:left w:w="108" w:type="dxa"/>
            <w:right w:w="108" w:type="dxa"/>
          </w:tblCellMar>
        </w:tblPrEx>
        <w:trPr>
          <w:gridAfter w:val="1"/>
          <w:wAfter w:w="142" w:type="dxa"/>
        </w:trPr>
        <w:tc>
          <w:tcPr>
            <w:tcW w:w="4077" w:type="dxa"/>
            <w:gridSpan w:val="3"/>
          </w:tcPr>
          <w:p w:rsidR="001035B2" w:rsidRPr="00415C11" w:rsidRDefault="001035B2" w:rsidP="004D7D19">
            <w:pPr>
              <w:spacing w:line="320" w:lineRule="exact"/>
              <w:jc w:val="both"/>
              <w:rPr>
                <w:sz w:val="26"/>
                <w:lang w:val="en-US"/>
              </w:rPr>
            </w:pPr>
          </w:p>
          <w:p w:rsidR="004D7D19" w:rsidRDefault="004D7D19" w:rsidP="004D7D19">
            <w:pPr>
              <w:spacing w:line="320" w:lineRule="exact"/>
              <w:jc w:val="both"/>
              <w:rPr>
                <w:sz w:val="26"/>
              </w:rPr>
            </w:pPr>
            <w:r w:rsidRPr="004D7D19">
              <w:rPr>
                <w:sz w:val="26"/>
              </w:rPr>
              <w:t>Der Sekretär des SGH bestimmt gemäß § 317 BGB das auf das Schiedsverfahren anwendbare Ve</w:t>
            </w:r>
            <w:r w:rsidRPr="004D7D19">
              <w:rPr>
                <w:sz w:val="26"/>
              </w:rPr>
              <w:t>r</w:t>
            </w:r>
            <w:r w:rsidRPr="004D7D19">
              <w:rPr>
                <w:sz w:val="26"/>
              </w:rPr>
              <w:t>fahrens-Statut einschließlich Ko</w:t>
            </w:r>
            <w:r w:rsidRPr="004D7D19">
              <w:rPr>
                <w:sz w:val="26"/>
              </w:rPr>
              <w:t>s</w:t>
            </w:r>
            <w:r w:rsidRPr="004D7D19">
              <w:rPr>
                <w:sz w:val="26"/>
              </w:rPr>
              <w:t>tenordnung auf Grundlage des bei Einleitung des Schiedsverfahrens geltenden Statuts nebst Kostenor</w:t>
            </w:r>
            <w:r w:rsidRPr="004D7D19">
              <w:rPr>
                <w:sz w:val="26"/>
              </w:rPr>
              <w:t>d</w:t>
            </w:r>
            <w:r w:rsidRPr="004D7D19">
              <w:rPr>
                <w:sz w:val="26"/>
              </w:rPr>
              <w:t>nung. Die Beteiligten verzichten auf den Zugang der entsprechenden E</w:t>
            </w:r>
            <w:r w:rsidRPr="004D7D19">
              <w:rPr>
                <w:sz w:val="26"/>
              </w:rPr>
              <w:t>r</w:t>
            </w:r>
            <w:r w:rsidRPr="004D7D19">
              <w:rPr>
                <w:sz w:val="26"/>
              </w:rPr>
              <w:t>klärung des Sekretärs.</w:t>
            </w:r>
          </w:p>
          <w:p w:rsidR="001035B2" w:rsidRPr="004D7D19" w:rsidRDefault="001035B2" w:rsidP="004D7D19">
            <w:pPr>
              <w:spacing w:line="320" w:lineRule="exact"/>
              <w:jc w:val="both"/>
              <w:rPr>
                <w:sz w:val="26"/>
              </w:rPr>
            </w:pPr>
          </w:p>
        </w:tc>
        <w:tc>
          <w:tcPr>
            <w:tcW w:w="531" w:type="dxa"/>
            <w:gridSpan w:val="2"/>
          </w:tcPr>
          <w:p w:rsidR="004D7D19" w:rsidRPr="004D7D19" w:rsidRDefault="004D7D19" w:rsidP="004D7D19">
            <w:pPr>
              <w:spacing w:line="320" w:lineRule="exact"/>
              <w:jc w:val="both"/>
              <w:rPr>
                <w:sz w:val="26"/>
              </w:rPr>
            </w:pPr>
          </w:p>
        </w:tc>
        <w:tc>
          <w:tcPr>
            <w:tcW w:w="4193" w:type="dxa"/>
            <w:gridSpan w:val="2"/>
          </w:tcPr>
          <w:p w:rsidR="001035B2" w:rsidRDefault="001035B2" w:rsidP="001035B2">
            <w:pPr>
              <w:tabs>
                <w:tab w:val="left" w:pos="3861"/>
              </w:tabs>
              <w:spacing w:line="320" w:lineRule="exact"/>
              <w:ind w:right="80"/>
              <w:jc w:val="both"/>
              <w:rPr>
                <w:sz w:val="26"/>
              </w:rPr>
            </w:pPr>
          </w:p>
          <w:p w:rsidR="004D7D19" w:rsidRPr="00415C11" w:rsidRDefault="004D7D19" w:rsidP="001035B2">
            <w:pPr>
              <w:tabs>
                <w:tab w:val="left" w:pos="3861"/>
              </w:tabs>
              <w:spacing w:line="320" w:lineRule="exact"/>
              <w:ind w:right="80"/>
              <w:jc w:val="both"/>
              <w:rPr>
                <w:sz w:val="26"/>
                <w:lang w:val="en-US"/>
              </w:rPr>
            </w:pPr>
            <w:r w:rsidRPr="001035B2">
              <w:rPr>
                <w:sz w:val="26"/>
                <w:lang w:val="en-US"/>
              </w:rPr>
              <w:t>The Secretary of the SGH dete</w:t>
            </w:r>
            <w:r w:rsidRPr="001035B2">
              <w:rPr>
                <w:sz w:val="26"/>
                <w:lang w:val="en-US"/>
              </w:rPr>
              <w:t>r</w:t>
            </w:r>
            <w:r w:rsidRPr="001035B2">
              <w:rPr>
                <w:sz w:val="26"/>
                <w:lang w:val="en-US"/>
              </w:rPr>
              <w:t>mines, according to § 317 BGB, the STATUTE applicable to the arbitr</w:t>
            </w:r>
            <w:r w:rsidRPr="001035B2">
              <w:rPr>
                <w:sz w:val="26"/>
                <w:lang w:val="en-US"/>
              </w:rPr>
              <w:t>a</w:t>
            </w:r>
            <w:r w:rsidRPr="001035B2">
              <w:rPr>
                <w:sz w:val="26"/>
                <w:lang w:val="en-US"/>
              </w:rPr>
              <w:t>tion proceedings including the schedule of costs on the basis of the arbitration STATUTE (including the schedule of costs) valid at the m</w:t>
            </w:r>
            <w:r w:rsidRPr="001035B2">
              <w:rPr>
                <w:sz w:val="26"/>
                <w:lang w:val="en-US"/>
              </w:rPr>
              <w:t>o</w:t>
            </w:r>
            <w:r w:rsidRPr="001035B2">
              <w:rPr>
                <w:sz w:val="26"/>
                <w:lang w:val="en-US"/>
              </w:rPr>
              <w:t>ment of the initiation of the procee</w:t>
            </w:r>
            <w:r w:rsidRPr="001035B2">
              <w:rPr>
                <w:sz w:val="26"/>
                <w:lang w:val="en-US"/>
              </w:rPr>
              <w:t>d</w:t>
            </w:r>
            <w:r w:rsidRPr="001035B2">
              <w:rPr>
                <w:sz w:val="26"/>
                <w:lang w:val="en-US"/>
              </w:rPr>
              <w:t xml:space="preserve">ings. </w:t>
            </w:r>
            <w:r w:rsidRPr="00415C11">
              <w:rPr>
                <w:sz w:val="26"/>
                <w:lang w:val="en-US"/>
              </w:rPr>
              <w:t>The parties waive the receipt of the appropriate declaration of the secretary.</w:t>
            </w:r>
          </w:p>
          <w:p w:rsidR="001035B2" w:rsidRPr="00415C11" w:rsidRDefault="001035B2" w:rsidP="001035B2">
            <w:pPr>
              <w:tabs>
                <w:tab w:val="left" w:pos="3861"/>
              </w:tabs>
              <w:spacing w:line="320" w:lineRule="exact"/>
              <w:ind w:right="80"/>
              <w:jc w:val="both"/>
              <w:rPr>
                <w:sz w:val="26"/>
                <w:lang w:val="en-US"/>
              </w:rPr>
            </w:pPr>
          </w:p>
        </w:tc>
      </w:tr>
      <w:tr w:rsidR="004D7D19" w:rsidRPr="002313F8" w:rsidTr="001035B2">
        <w:tblPrEx>
          <w:tblCellMar>
            <w:left w:w="108" w:type="dxa"/>
            <w:right w:w="108" w:type="dxa"/>
          </w:tblCellMar>
        </w:tblPrEx>
        <w:trPr>
          <w:gridAfter w:val="1"/>
          <w:wAfter w:w="142" w:type="dxa"/>
        </w:trPr>
        <w:tc>
          <w:tcPr>
            <w:tcW w:w="4077" w:type="dxa"/>
            <w:gridSpan w:val="3"/>
          </w:tcPr>
          <w:p w:rsidR="004D7D19" w:rsidRPr="004D7D19" w:rsidRDefault="004D7D19" w:rsidP="004D7D19">
            <w:pPr>
              <w:spacing w:line="320" w:lineRule="exact"/>
              <w:jc w:val="both"/>
              <w:rPr>
                <w:sz w:val="26"/>
              </w:rPr>
            </w:pPr>
            <w:r w:rsidRPr="004D7D19">
              <w:rPr>
                <w:sz w:val="26"/>
              </w:rPr>
              <w:t>Der SGH entscheidet auch über se</w:t>
            </w:r>
            <w:r w:rsidRPr="004D7D19">
              <w:rPr>
                <w:sz w:val="26"/>
              </w:rPr>
              <w:t>i</w:t>
            </w:r>
            <w:r w:rsidRPr="004D7D19">
              <w:rPr>
                <w:sz w:val="26"/>
              </w:rPr>
              <w:t>ne eigene Zuständigkeit und im Z</w:t>
            </w:r>
            <w:r w:rsidRPr="004D7D19">
              <w:rPr>
                <w:sz w:val="26"/>
              </w:rPr>
              <w:t>u</w:t>
            </w:r>
            <w:r w:rsidRPr="004D7D19">
              <w:rPr>
                <w:sz w:val="26"/>
              </w:rPr>
              <w:t>sammenhang hiermit über das B</w:t>
            </w:r>
            <w:r w:rsidRPr="004D7D19">
              <w:rPr>
                <w:sz w:val="26"/>
              </w:rPr>
              <w:t>e</w:t>
            </w:r>
            <w:r w:rsidRPr="004D7D19">
              <w:rPr>
                <w:sz w:val="26"/>
              </w:rPr>
              <w:t xml:space="preserve">stehen oder die Gültigkeit dieser Schiedsvereinbarung. Der SGH ist insbesondere auch zuständig für Maßnahmen des einstweiligen Rechtsschutzes in vorgenanntem </w:t>
            </w:r>
            <w:r w:rsidRPr="004D7D19">
              <w:rPr>
                <w:sz w:val="26"/>
              </w:rPr>
              <w:lastRenderedPageBreak/>
              <w:t>Bereich.</w:t>
            </w:r>
          </w:p>
        </w:tc>
        <w:tc>
          <w:tcPr>
            <w:tcW w:w="531" w:type="dxa"/>
            <w:gridSpan w:val="2"/>
          </w:tcPr>
          <w:p w:rsidR="004D7D19" w:rsidRPr="004D7D19" w:rsidRDefault="004D7D19" w:rsidP="004D7D19">
            <w:pPr>
              <w:spacing w:line="320" w:lineRule="exact"/>
              <w:jc w:val="both"/>
              <w:rPr>
                <w:sz w:val="26"/>
              </w:rPr>
            </w:pPr>
          </w:p>
        </w:tc>
        <w:tc>
          <w:tcPr>
            <w:tcW w:w="4193" w:type="dxa"/>
            <w:gridSpan w:val="2"/>
          </w:tcPr>
          <w:p w:rsidR="004D7D19" w:rsidRPr="00415C11" w:rsidRDefault="004D7D19" w:rsidP="001035B2">
            <w:pPr>
              <w:tabs>
                <w:tab w:val="left" w:pos="4144"/>
              </w:tabs>
              <w:spacing w:line="320" w:lineRule="exact"/>
              <w:ind w:right="147"/>
              <w:jc w:val="both"/>
              <w:rPr>
                <w:sz w:val="26"/>
                <w:lang w:val="en-US"/>
              </w:rPr>
            </w:pPr>
            <w:r w:rsidRPr="00415C11">
              <w:rPr>
                <w:sz w:val="26"/>
                <w:lang w:val="en-US"/>
              </w:rPr>
              <w:t>The SGH has also jurisdiction on its own competence and – in conne</w:t>
            </w:r>
            <w:r w:rsidRPr="00415C11">
              <w:rPr>
                <w:sz w:val="26"/>
                <w:lang w:val="en-US"/>
              </w:rPr>
              <w:t>c</w:t>
            </w:r>
            <w:r w:rsidRPr="00415C11">
              <w:rPr>
                <w:sz w:val="26"/>
                <w:lang w:val="en-US"/>
              </w:rPr>
              <w:t xml:space="preserve">tion herewith – on the existence or the validity of this Arbitration Clause. In particular the SGH has also jurisdiction on measures by way of a judicial injunction in the subject matter of this provision. </w:t>
            </w:r>
          </w:p>
        </w:tc>
      </w:tr>
      <w:tr w:rsidR="004D7D19" w:rsidRPr="002313F8" w:rsidTr="001035B2">
        <w:trPr>
          <w:gridAfter w:val="2"/>
          <w:wAfter w:w="755" w:type="dxa"/>
        </w:trPr>
        <w:tc>
          <w:tcPr>
            <w:tcW w:w="4077" w:type="dxa"/>
            <w:gridSpan w:val="3"/>
          </w:tcPr>
          <w:p w:rsidR="004D7D19" w:rsidRPr="004D7D19" w:rsidRDefault="004D7D19" w:rsidP="001035B2">
            <w:pPr>
              <w:spacing w:line="320" w:lineRule="exact"/>
              <w:ind w:right="71"/>
              <w:jc w:val="both"/>
              <w:rPr>
                <w:sz w:val="26"/>
              </w:rPr>
            </w:pPr>
            <w:r w:rsidRPr="004D7D19">
              <w:rPr>
                <w:sz w:val="26"/>
              </w:rPr>
              <w:lastRenderedPageBreak/>
              <w:t xml:space="preserve">Betrifft die Streitigkeit mittelbar </w:t>
            </w:r>
            <w:r w:rsidRPr="004D7D19">
              <w:rPr>
                <w:sz w:val="26"/>
              </w:rPr>
              <w:t>o</w:t>
            </w:r>
            <w:r w:rsidRPr="004D7D19">
              <w:rPr>
                <w:sz w:val="26"/>
              </w:rPr>
              <w:t>der unmittelbar auch die Wirksa</w:t>
            </w:r>
            <w:r w:rsidRPr="004D7D19">
              <w:rPr>
                <w:sz w:val="26"/>
              </w:rPr>
              <w:t>m</w:t>
            </w:r>
            <w:r w:rsidRPr="004D7D19">
              <w:rPr>
                <w:sz w:val="26"/>
              </w:rPr>
              <w:t>keit von Gesellschafterbeschlüssen, wird die Möglichkeit der Ernennung der Schiedsrichter durch die Parteien nach § 9 des Statuts ausgeschlossen. Denselben Streitgegenstand betre</w:t>
            </w:r>
            <w:r w:rsidRPr="004D7D19">
              <w:rPr>
                <w:sz w:val="26"/>
              </w:rPr>
              <w:t>f</w:t>
            </w:r>
            <w:r w:rsidRPr="004D7D19">
              <w:rPr>
                <w:sz w:val="26"/>
              </w:rPr>
              <w:t>fende Beschlussmängelstreitigkeiten sind zur gleichzeitigen Verhandlung und Entscheidung zu verbinden. Der SGH entscheidet mit verbindlicher Wirkung für die Gesellschaft, deren Organe und sämtliche Gesellscha</w:t>
            </w:r>
            <w:r w:rsidRPr="004D7D19">
              <w:rPr>
                <w:sz w:val="26"/>
              </w:rPr>
              <w:t>f</w:t>
            </w:r>
            <w:r w:rsidRPr="004D7D19">
              <w:rPr>
                <w:sz w:val="26"/>
              </w:rPr>
              <w:t>ter. Diese Betroffenen sind über Ei</w:t>
            </w:r>
            <w:r w:rsidRPr="004D7D19">
              <w:rPr>
                <w:sz w:val="26"/>
              </w:rPr>
              <w:t>n</w:t>
            </w:r>
            <w:r w:rsidRPr="004D7D19">
              <w:rPr>
                <w:sz w:val="26"/>
              </w:rPr>
              <w:t>leitung und Verlauf des Verfahrens zu unterrichten und am Verfahren im Wege der Beiladung zu beteiligen, sofern sie nicht selbst bereits Parte</w:t>
            </w:r>
            <w:r w:rsidRPr="004D7D19">
              <w:rPr>
                <w:sz w:val="26"/>
              </w:rPr>
              <w:t>i</w:t>
            </w:r>
            <w:r w:rsidRPr="004D7D19">
              <w:rPr>
                <w:sz w:val="26"/>
              </w:rPr>
              <w:t>en sind.</w:t>
            </w:r>
          </w:p>
        </w:tc>
        <w:tc>
          <w:tcPr>
            <w:tcW w:w="426" w:type="dxa"/>
          </w:tcPr>
          <w:p w:rsidR="004D7D19" w:rsidRPr="004D7D19" w:rsidRDefault="004D7D19" w:rsidP="004D7D19">
            <w:pPr>
              <w:spacing w:line="320" w:lineRule="exact"/>
              <w:jc w:val="both"/>
              <w:rPr>
                <w:sz w:val="26"/>
              </w:rPr>
            </w:pPr>
          </w:p>
        </w:tc>
        <w:tc>
          <w:tcPr>
            <w:tcW w:w="3685" w:type="dxa"/>
            <w:gridSpan w:val="2"/>
          </w:tcPr>
          <w:p w:rsidR="004D7D19" w:rsidRPr="00415C11" w:rsidRDefault="004D7D19" w:rsidP="006275CD">
            <w:pPr>
              <w:spacing w:line="320" w:lineRule="exact"/>
              <w:jc w:val="both"/>
              <w:rPr>
                <w:sz w:val="26"/>
                <w:lang w:val="en-US"/>
              </w:rPr>
            </w:pPr>
            <w:r w:rsidRPr="00415C11">
              <w:rPr>
                <w:sz w:val="26"/>
                <w:lang w:val="en-US"/>
              </w:rPr>
              <w:t>If the dispute involves directly or indirectly the validity of shar</w:t>
            </w:r>
            <w:r w:rsidRPr="00415C11">
              <w:rPr>
                <w:sz w:val="26"/>
                <w:lang w:val="en-US"/>
              </w:rPr>
              <w:t>e</w:t>
            </w:r>
            <w:r w:rsidRPr="00415C11">
              <w:rPr>
                <w:sz w:val="26"/>
                <w:lang w:val="en-US"/>
              </w:rPr>
              <w:t>holders’ resolutions, the possibi</w:t>
            </w:r>
            <w:r w:rsidRPr="00415C11">
              <w:rPr>
                <w:sz w:val="26"/>
                <w:lang w:val="en-US"/>
              </w:rPr>
              <w:t>l</w:t>
            </w:r>
            <w:r w:rsidRPr="00415C11">
              <w:rPr>
                <w:sz w:val="26"/>
                <w:lang w:val="en-US"/>
              </w:rPr>
              <w:t>ity of nomination of arbitrators by the parties pursuant to Sec. 9 of the Statute is hereby excluded. Disputes on the avoidance of shareholders’ resolutions refe</w:t>
            </w:r>
            <w:r w:rsidRPr="00415C11">
              <w:rPr>
                <w:sz w:val="26"/>
                <w:lang w:val="en-US"/>
              </w:rPr>
              <w:t>r</w:t>
            </w:r>
            <w:r w:rsidRPr="00415C11">
              <w:rPr>
                <w:sz w:val="26"/>
                <w:lang w:val="en-US"/>
              </w:rPr>
              <w:t>ring to the same matter in contr</w:t>
            </w:r>
            <w:r w:rsidRPr="00415C11">
              <w:rPr>
                <w:sz w:val="26"/>
                <w:lang w:val="en-US"/>
              </w:rPr>
              <w:t>o</w:t>
            </w:r>
            <w:r w:rsidRPr="00415C11">
              <w:rPr>
                <w:sz w:val="26"/>
                <w:lang w:val="en-US"/>
              </w:rPr>
              <w:t>versy shall be consolidated for the purpose of simultaneous trial and decision. The SGH rules with binding effect for the Company, for its bodies and for all shar</w:t>
            </w:r>
            <w:r w:rsidRPr="00415C11">
              <w:rPr>
                <w:sz w:val="26"/>
                <w:lang w:val="en-US"/>
              </w:rPr>
              <w:t>e</w:t>
            </w:r>
            <w:r w:rsidRPr="00415C11">
              <w:rPr>
                <w:sz w:val="26"/>
                <w:lang w:val="en-US"/>
              </w:rPr>
              <w:t>holders. Such subjects have to be involved in the proceedings by way of the summons to interested subjects, as far as they are not already parties themselves.</w:t>
            </w:r>
          </w:p>
        </w:tc>
      </w:tr>
    </w:tbl>
    <w:p w:rsidR="004D7D19" w:rsidRPr="00415C11" w:rsidRDefault="004D7D19">
      <w:pPr>
        <w:spacing w:line="320" w:lineRule="exact"/>
        <w:jc w:val="both"/>
        <w:rPr>
          <w:sz w:val="26"/>
          <w:lang w:val="en-US"/>
        </w:rPr>
      </w:pPr>
    </w:p>
    <w:sectPr w:rsidR="004D7D19" w:rsidRPr="00415C11">
      <w:headerReference w:type="even" r:id="rId8"/>
      <w:headerReference w:type="default" r:id="rId9"/>
      <w:pgSz w:w="11906" w:h="16838" w:code="9"/>
      <w:pgMar w:top="1418" w:right="1134" w:bottom="1134"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8CD" w:rsidRDefault="004158CD">
      <w:r>
        <w:separator/>
      </w:r>
    </w:p>
  </w:endnote>
  <w:endnote w:type="continuationSeparator" w:id="0">
    <w:p w:rsidR="004158CD" w:rsidRDefault="00415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8CD" w:rsidRDefault="004158CD">
      <w:r>
        <w:separator/>
      </w:r>
    </w:p>
  </w:footnote>
  <w:footnote w:type="continuationSeparator" w:id="0">
    <w:p w:rsidR="004158CD" w:rsidRDefault="00415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63" w:rsidRDefault="00B9216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92163" w:rsidRDefault="00B9216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63" w:rsidRDefault="00B92163">
    <w:pPr>
      <w:pStyle w:val="Kopfzeile"/>
      <w:jc w:val="center"/>
    </w:pPr>
    <w:r>
      <w:t xml:space="preserve">- </w:t>
    </w:r>
    <w:r>
      <w:fldChar w:fldCharType="begin"/>
    </w:r>
    <w:r>
      <w:instrText xml:space="preserve"> Page  </w:instrText>
    </w:r>
    <w:r>
      <w:fldChar w:fldCharType="separate"/>
    </w:r>
    <w:r w:rsidR="002313F8">
      <w:rPr>
        <w:noProof/>
      </w:rPr>
      <w:t>2</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6BA54C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B2"/>
    <w:rsid w:val="001035B2"/>
    <w:rsid w:val="002313F8"/>
    <w:rsid w:val="004158CD"/>
    <w:rsid w:val="00415C11"/>
    <w:rsid w:val="004D7D19"/>
    <w:rsid w:val="006275CD"/>
    <w:rsid w:val="00B92163"/>
    <w:rsid w:val="00E53D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
    <w:name w:val="Body Text"/>
    <w:basedOn w:val="Standard"/>
    <w:pPr>
      <w:spacing w:before="100" w:beforeAutospacing="1" w:after="100" w:afterAutospacing="1"/>
      <w:ind w:right="1440"/>
      <w:jc w:val="both"/>
    </w:pPr>
    <w:rPr>
      <w:rFonts w:ascii="Arial" w:hAnsi="Arial" w:cs="Arial"/>
      <w:i/>
      <w:iCs/>
      <w:sz w:val="22"/>
    </w:rPr>
  </w:style>
  <w:style w:type="paragraph" w:styleId="Aufzhlungszeichen">
    <w:name w:val="List Bullet"/>
    <w:basedOn w:val="Standard"/>
    <w:autoRedefine/>
    <w:pPr>
      <w:numPr>
        <w:numId w:val="1"/>
      </w:numPr>
    </w:pPr>
  </w:style>
  <w:style w:type="paragraph" w:styleId="Sprechblasentext">
    <w:name w:val="Balloon Text"/>
    <w:basedOn w:val="Standard"/>
    <w:semiHidden/>
    <w:rsid w:val="00E53DB2"/>
    <w:rPr>
      <w:rFonts w:ascii="Tahoma" w:hAnsi="Tahoma" w:cs="Tahoma"/>
      <w:sz w:val="16"/>
      <w:szCs w:val="16"/>
    </w:rPr>
  </w:style>
  <w:style w:type="paragraph" w:customStyle="1" w:styleId="10Formulierungsvorschlag">
    <w:name w:val="10 Formulierungsvorschlag"/>
    <w:basedOn w:val="Standard"/>
    <w:uiPriority w:val="99"/>
    <w:rsid w:val="004D7D19"/>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i/>
      <w:spacing w:val="-4"/>
      <w:sz w:val="20"/>
    </w:rPr>
  </w:style>
  <w:style w:type="paragraph" w:customStyle="1" w:styleId="10Formulierungsvorschlagberschrift">
    <w:name w:val="10 Formulierungsvorschlag Überschrift"/>
    <w:basedOn w:val="Standard"/>
    <w:next w:val="Standard"/>
    <w:uiPriority w:val="99"/>
    <w:rsid w:val="004D7D19"/>
    <w:pPr>
      <w:pBdr>
        <w:top w:val="single" w:sz="18" w:space="1" w:color="84BCBB"/>
        <w:left w:val="single" w:sz="18" w:space="4" w:color="84BCBB"/>
        <w:bottom w:val="single" w:sz="18" w:space="1" w:color="84BCBB"/>
        <w:right w:val="single" w:sz="18" w:space="4" w:color="84BCBB"/>
      </w:pBdr>
      <w:tabs>
        <w:tab w:val="left" w:pos="567"/>
      </w:tabs>
      <w:spacing w:after="60"/>
      <w:ind w:left="170"/>
    </w:pPr>
    <w:rPr>
      <w:rFonts w:ascii="Arial" w:hAnsi="Arial"/>
      <w:b/>
      <w:spacing w:val="-1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
    <w:name w:val="Body Text"/>
    <w:basedOn w:val="Standard"/>
    <w:pPr>
      <w:spacing w:before="100" w:beforeAutospacing="1" w:after="100" w:afterAutospacing="1"/>
      <w:ind w:right="1440"/>
      <w:jc w:val="both"/>
    </w:pPr>
    <w:rPr>
      <w:rFonts w:ascii="Arial" w:hAnsi="Arial" w:cs="Arial"/>
      <w:i/>
      <w:iCs/>
      <w:sz w:val="22"/>
    </w:rPr>
  </w:style>
  <w:style w:type="paragraph" w:styleId="Aufzhlungszeichen">
    <w:name w:val="List Bullet"/>
    <w:basedOn w:val="Standard"/>
    <w:autoRedefine/>
    <w:pPr>
      <w:numPr>
        <w:numId w:val="1"/>
      </w:numPr>
    </w:pPr>
  </w:style>
  <w:style w:type="paragraph" w:styleId="Sprechblasentext">
    <w:name w:val="Balloon Text"/>
    <w:basedOn w:val="Standard"/>
    <w:semiHidden/>
    <w:rsid w:val="00E53DB2"/>
    <w:rPr>
      <w:rFonts w:ascii="Tahoma" w:hAnsi="Tahoma" w:cs="Tahoma"/>
      <w:sz w:val="16"/>
      <w:szCs w:val="16"/>
    </w:rPr>
  </w:style>
  <w:style w:type="paragraph" w:customStyle="1" w:styleId="10Formulierungsvorschlag">
    <w:name w:val="10 Formulierungsvorschlag"/>
    <w:basedOn w:val="Standard"/>
    <w:uiPriority w:val="99"/>
    <w:rsid w:val="004D7D19"/>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i/>
      <w:spacing w:val="-4"/>
      <w:sz w:val="20"/>
    </w:rPr>
  </w:style>
  <w:style w:type="paragraph" w:customStyle="1" w:styleId="10Formulierungsvorschlagberschrift">
    <w:name w:val="10 Formulierungsvorschlag Überschrift"/>
    <w:basedOn w:val="Standard"/>
    <w:next w:val="Standard"/>
    <w:uiPriority w:val="99"/>
    <w:rsid w:val="004D7D19"/>
    <w:pPr>
      <w:pBdr>
        <w:top w:val="single" w:sz="18" w:space="1" w:color="84BCBB"/>
        <w:left w:val="single" w:sz="18" w:space="4" w:color="84BCBB"/>
        <w:bottom w:val="single" w:sz="18" w:space="1" w:color="84BCBB"/>
        <w:right w:val="single" w:sz="18" w:space="4" w:color="84BCBB"/>
      </w:pBdr>
      <w:tabs>
        <w:tab w:val="left" w:pos="567"/>
      </w:tabs>
      <w:spacing w:after="60"/>
      <w:ind w:left="170"/>
    </w:pPr>
    <w:rPr>
      <w:rFonts w:ascii="Arial" w:hAnsi="Arial"/>
      <w:b/>
      <w:spacing w:val="-1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3225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Alle Streitigkeiten, die zwischen Ge-sellschaftern der gegenwärtig errich-teten Gesellschaft oder zwischen Gesellschaftern und</vt:lpstr>
    </vt:vector>
  </TitlesOfParts>
  <Company>Notariat Dr. Vossius und Dr. Engel</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 Streitigkeiten, die zwischen Ge-sellschaftern der gegenwärtig errich-teten Gesellschaft oder zwischen Gesellschaftern und</dc:title>
  <dc:creator>Def</dc:creator>
  <cp:lastModifiedBy>C. Vonhof-Stolz | DNotV</cp:lastModifiedBy>
  <cp:revision>4</cp:revision>
  <cp:lastPrinted>2011-11-16T15:54:00Z</cp:lastPrinted>
  <dcterms:created xsi:type="dcterms:W3CDTF">2013-05-29T09:51:00Z</dcterms:created>
  <dcterms:modified xsi:type="dcterms:W3CDTF">2013-05-29T10:15:00Z</dcterms:modified>
</cp:coreProperties>
</file>